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0"/>
          <w:szCs w:val="30"/>
        </w:rPr>
      </w:pPr>
      <w:r>
        <w:rPr>
          <w:rFonts w:hint="eastAsia" w:ascii="仿宋" w:hAnsi="仿宋" w:eastAsia="仿宋" w:cs="仿宋"/>
          <w:sz w:val="30"/>
          <w:szCs w:val="30"/>
        </w:rPr>
        <w:t>附件3：</w:t>
      </w:r>
    </w:p>
    <w:p>
      <w:pPr>
        <w:jc w:val="center"/>
        <w:rPr>
          <w:rFonts w:hint="eastAsia" w:ascii="黑体" w:hAnsi="黑体" w:eastAsia="黑体" w:cs="黑体"/>
          <w:b w:val="0"/>
          <w:bCs w:val="0"/>
          <w:sz w:val="36"/>
          <w:szCs w:val="36"/>
        </w:rPr>
      </w:pPr>
      <w:r>
        <w:rPr>
          <w:rFonts w:hint="eastAsia" w:ascii="黑体" w:hAnsi="黑体" w:eastAsia="黑体" w:cs="黑体"/>
          <w:b w:val="0"/>
          <w:bCs w:val="0"/>
          <w:color w:val="000000"/>
          <w:sz w:val="36"/>
          <w:szCs w:val="36"/>
        </w:rPr>
        <w:t>2018</w:t>
      </w:r>
      <w:r>
        <w:rPr>
          <w:rFonts w:hint="eastAsia" w:ascii="黑体" w:hAnsi="黑体" w:eastAsia="黑体" w:cs="黑体"/>
          <w:b w:val="0"/>
          <w:bCs w:val="0"/>
          <w:sz w:val="36"/>
          <w:szCs w:val="36"/>
        </w:rPr>
        <w:t>年度部门整体支出绩效自评报告</w:t>
      </w:r>
    </w:p>
    <w:p>
      <w:pPr>
        <w:jc w:val="center"/>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eastAsia="zh-CN"/>
        </w:rPr>
        <w:t>永州市</w:t>
      </w:r>
      <w:r>
        <w:rPr>
          <w:rFonts w:hint="eastAsia" w:ascii="仿宋" w:hAnsi="仿宋" w:eastAsia="仿宋" w:cs="仿宋"/>
          <w:sz w:val="30"/>
          <w:szCs w:val="30"/>
        </w:rPr>
        <w:t>冷水滩区</w:t>
      </w:r>
      <w:r>
        <w:rPr>
          <w:rFonts w:hint="eastAsia" w:ascii="仿宋" w:hAnsi="仿宋" w:eastAsia="仿宋" w:cs="仿宋"/>
          <w:sz w:val="30"/>
          <w:szCs w:val="30"/>
          <w:lang w:eastAsia="zh-CN"/>
        </w:rPr>
        <w:t>交通运输局</w:t>
      </w:r>
      <w:r>
        <w:rPr>
          <w:rFonts w:hint="eastAsia" w:ascii="仿宋" w:hAnsi="仿宋" w:eastAsia="仿宋" w:cs="仿宋"/>
          <w:sz w:val="30"/>
          <w:szCs w:val="30"/>
        </w:rPr>
        <w:t>）</w:t>
      </w:r>
    </w:p>
    <w:p>
      <w:pPr>
        <w:ind w:firstLine="600" w:firstLineChars="200"/>
        <w:jc w:val="center"/>
        <w:rPr>
          <w:rFonts w:hint="eastAsia" w:ascii="仿宋" w:hAnsi="仿宋" w:eastAsia="仿宋" w:cs="仿宋"/>
          <w:sz w:val="30"/>
          <w:szCs w:val="30"/>
        </w:rPr>
      </w:pPr>
    </w:p>
    <w:p>
      <w:pPr>
        <w:ind w:firstLine="600" w:firstLineChars="200"/>
        <w:rPr>
          <w:rFonts w:hint="eastAsia" w:ascii="黑体" w:hAnsi="黑体" w:eastAsia="黑体" w:cs="黑体"/>
          <w:b w:val="0"/>
          <w:bCs/>
          <w:sz w:val="30"/>
          <w:szCs w:val="30"/>
        </w:rPr>
      </w:pPr>
      <w:r>
        <w:rPr>
          <w:rFonts w:hint="eastAsia" w:ascii="黑体" w:hAnsi="黑体" w:eastAsia="黑体" w:cs="黑体"/>
          <w:b w:val="0"/>
          <w:bCs/>
          <w:sz w:val="30"/>
          <w:szCs w:val="30"/>
        </w:rPr>
        <w:t>一、部门概况</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（一）部门基本情况。</w:t>
      </w:r>
    </w:p>
    <w:p>
      <w:pPr>
        <w:spacing w:line="62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永州市</w:t>
      </w:r>
      <w:r>
        <w:rPr>
          <w:rFonts w:hint="eastAsia" w:ascii="仿宋" w:hAnsi="仿宋" w:eastAsia="仿宋" w:cs="仿宋"/>
          <w:color w:val="000000"/>
          <w:sz w:val="30"/>
          <w:szCs w:val="30"/>
        </w:rPr>
        <w:t>冷水滩区交通运输局于1984年撤县复市时成立，是主管全区县、乡公路及渡口、码头的规划建设、养护和管理，以及全区公路、水路和城区交通运输的行业管理的区政府职能部门。</w:t>
      </w:r>
      <w:r>
        <w:rPr>
          <w:rFonts w:hint="eastAsia" w:ascii="仿宋" w:hAnsi="仿宋" w:eastAsia="仿宋" w:cs="仿宋"/>
          <w:color w:val="000000"/>
          <w:kern w:val="0"/>
          <w:sz w:val="30"/>
          <w:szCs w:val="30"/>
        </w:rPr>
        <w:t>我单位性质为财政全额拨款的正科级</w:t>
      </w:r>
      <w:r>
        <w:rPr>
          <w:rFonts w:hint="eastAsia" w:ascii="仿宋" w:hAnsi="仿宋" w:eastAsia="仿宋" w:cs="仿宋"/>
          <w:color w:val="000000"/>
          <w:kern w:val="0"/>
          <w:sz w:val="30"/>
          <w:szCs w:val="30"/>
          <w:lang w:eastAsia="zh-CN"/>
        </w:rPr>
        <w:t>行政</w:t>
      </w:r>
      <w:r>
        <w:rPr>
          <w:rFonts w:hint="eastAsia" w:ascii="仿宋" w:hAnsi="仿宋" w:eastAsia="仿宋" w:cs="仿宋"/>
          <w:color w:val="000000"/>
          <w:kern w:val="0"/>
          <w:sz w:val="30"/>
          <w:szCs w:val="30"/>
        </w:rPr>
        <w:t>单位，</w:t>
      </w:r>
      <w:r>
        <w:rPr>
          <w:rFonts w:hint="eastAsia" w:ascii="仿宋" w:hAnsi="仿宋" w:eastAsia="仿宋" w:cs="仿宋"/>
          <w:sz w:val="30"/>
          <w:szCs w:val="30"/>
        </w:rPr>
        <w:t>内设办公室、安全法制股、财务审计股、政工股、党风廉政办、综治行管办、交通战备办、计划统计股、农村公路建设股、农村公路养护股、工会、行政审批中心12个股室，下设</w:t>
      </w:r>
      <w:r>
        <w:rPr>
          <w:rFonts w:hint="eastAsia" w:ascii="仿宋" w:hAnsi="仿宋" w:eastAsia="仿宋" w:cs="仿宋"/>
          <w:sz w:val="30"/>
          <w:szCs w:val="30"/>
          <w:lang w:eastAsia="zh-CN"/>
        </w:rPr>
        <w:t>运管所、</w:t>
      </w:r>
      <w:r>
        <w:rPr>
          <w:rFonts w:hint="eastAsia" w:ascii="仿宋" w:hAnsi="仿宋" w:eastAsia="仿宋" w:cs="仿宋"/>
          <w:sz w:val="30"/>
          <w:szCs w:val="30"/>
        </w:rPr>
        <w:t>海事局、质</w:t>
      </w:r>
      <w:r>
        <w:rPr>
          <w:rFonts w:hint="eastAsia" w:ascii="仿宋" w:hAnsi="仿宋" w:eastAsia="仿宋" w:cs="仿宋"/>
          <w:sz w:val="30"/>
          <w:szCs w:val="30"/>
          <w:lang w:eastAsia="zh-CN"/>
        </w:rPr>
        <w:t>监</w:t>
      </w:r>
      <w:r>
        <w:rPr>
          <w:rFonts w:hint="eastAsia" w:ascii="仿宋" w:hAnsi="仿宋" w:eastAsia="仿宋" w:cs="仿宋"/>
          <w:sz w:val="30"/>
          <w:szCs w:val="30"/>
        </w:rPr>
        <w:t>站、路政大队等</w:t>
      </w:r>
      <w:r>
        <w:rPr>
          <w:rFonts w:hint="eastAsia" w:ascii="仿宋" w:hAnsi="仿宋" w:eastAsia="仿宋" w:cs="仿宋"/>
          <w:sz w:val="30"/>
          <w:szCs w:val="30"/>
          <w:lang w:val="en-US" w:eastAsia="zh-CN"/>
        </w:rPr>
        <w:t>4</w:t>
      </w:r>
      <w:r>
        <w:rPr>
          <w:rFonts w:hint="eastAsia" w:ascii="仿宋" w:hAnsi="仿宋" w:eastAsia="仿宋" w:cs="仿宋"/>
          <w:sz w:val="30"/>
          <w:szCs w:val="30"/>
        </w:rPr>
        <w:t>个二级机构</w:t>
      </w:r>
      <w:r>
        <w:rPr>
          <w:rFonts w:hint="eastAsia" w:ascii="仿宋" w:hAnsi="仿宋" w:eastAsia="仿宋" w:cs="仿宋"/>
          <w:sz w:val="30"/>
          <w:szCs w:val="30"/>
          <w:lang w:eastAsia="zh-CN"/>
        </w:rPr>
        <w:t>，其中运管所为独立核算单位</w:t>
      </w:r>
      <w:r>
        <w:rPr>
          <w:rFonts w:hint="eastAsia" w:ascii="仿宋" w:hAnsi="仿宋" w:eastAsia="仿宋" w:cs="仿宋"/>
          <w:sz w:val="30"/>
          <w:szCs w:val="30"/>
        </w:rPr>
        <w:t>。</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（二）2018年的重点工作</w:t>
      </w:r>
    </w:p>
    <w:p>
      <w:pPr>
        <w:adjustRightInd w:val="0"/>
        <w:snapToGrid w:val="0"/>
        <w:spacing w:line="600" w:lineRule="exact"/>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1、</w:t>
      </w:r>
      <w:r>
        <w:rPr>
          <w:rFonts w:hint="eastAsia" w:ascii="仿宋" w:hAnsi="仿宋" w:eastAsia="仿宋" w:cs="仿宋"/>
          <w:b w:val="0"/>
          <w:bCs/>
          <w:sz w:val="30"/>
          <w:szCs w:val="30"/>
        </w:rPr>
        <w:t>大力攻坚克难，重点工作强力挺进。今年，全区“交通提速战役”重点项目计划实施9个，其中新开工项目3个，续建项目6个。1－10月，实际完成投资3.6亿元，占年度投资任务的80%，项目实施数和实际产值同比均有一定幅度的提升。一是S348祁阳黎家坪经黄阳司至冷水滩马坪公路（冷水滩段）：目前路基工程100%完成，路面基配碎石完成24公里，水稳底基层和基层完成20公里，四座桥梁下部结构全面完成。二是S237冷水滩珊瑚至东安井头圩公路（冷水滩段）：目前已完成房屋征地及房屋拆迁工作。三是S217南镇-冷水滩公路冷水滩城区段（九嶷大道及永州大道快速公交及后续配套工程）：该项目路基工程已基本完成，路面和桥梁下部构造预计12月完成。四是S237冷水滩杨村甸至马坪公路：目前已完成施工图招标、工可报告、施工图的初步设计、用地预审、可行性研究报告等。区委常委会已研究同意启动开工建设，现正在研究具体的建设方案。五是祁阳至冷水滩一级公路市政配套工程（冷水滩段）：目前已全部完成征地拆迁任务。六是机场大道、衡阳至永州高速公路、千吨级航道港口码头、冷水滩界牌至枫木井公路等四个项目正在做前期工作。</w:t>
      </w:r>
    </w:p>
    <w:p>
      <w:pPr>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二）顺应群众呼声，民生交通得到强化。提高政治站位，强力攻坚农村公路建设，重点推进“四好农村路”和脱贫攻坚自然村通水泥（沥青）路建设。截至10月底，全区农村公路提质改造完成33.111公里，完成投资1035.32万元；自然村通水泥（沥青）路完成28里，完成投资980万元；完成农村公路改造75.239公里，完成投资2638.64万元。危桥改造完成建设4座，完成投资298万元。完成渡口码头改造1座，农村客运招呼站50个。</w:t>
      </w:r>
    </w:p>
    <w:p>
      <w:pPr>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三）增强通行能力，养护水平不断提高。一是开展日常养护工作。重点对刘郝公路全线13.8公里的实施中修工程，完成投资295万元，常规公路养护清理路肩杂草105公里，清扫路面120公里。二是安全防护及应急处置工作。完成生命防护工程45公里。处置水毁等突发的重大道路安全隐患4处，完成投资20 万元。完成区交安委交办道路隐患任务20处，全力落实冷水滩区创建3A景区外围标志标牌项目。</w:t>
      </w:r>
    </w:p>
    <w:p>
      <w:pPr>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四）严格行业管理，安全态势稳步向好。全面开展道路运输安全“隐患清零”升级版行动，深入开展“打非治违”专项治理活动，积极开展汽车站公共交通秩序专项整治，持续加大黑的、摩的等非法营运打击力度，大力开展“品质工程”建设，认真汲取京港澳高速“6•29”特大交通事故教训，强力推进“平安工地”、“平安车站”、“平安水域”建设，全区没有发生一起较大以上安全生产事故。</w:t>
      </w:r>
    </w:p>
    <w:p>
      <w:pPr>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（五）坚持正风导向，党建引领深入人心。以“两学一做”</w:t>
      </w:r>
      <w:r>
        <w:rPr>
          <w:rFonts w:hint="eastAsia" w:ascii="仿宋" w:hAnsi="仿宋" w:eastAsia="仿宋" w:cs="仿宋"/>
          <w:b w:val="0"/>
          <w:bCs/>
          <w:sz w:val="30"/>
          <w:szCs w:val="30"/>
          <w:lang w:eastAsia="zh-CN"/>
        </w:rPr>
        <w:t>学习教育</w:t>
      </w:r>
      <w:r>
        <w:rPr>
          <w:rFonts w:hint="eastAsia" w:ascii="仿宋" w:hAnsi="仿宋" w:eastAsia="仿宋" w:cs="仿宋"/>
          <w:b w:val="0"/>
          <w:bCs/>
          <w:sz w:val="30"/>
          <w:szCs w:val="30"/>
        </w:rPr>
        <w:t>常态化为抓手，以强化两个责任为主体，以落实党风廉政建设为重点，以规范各类补助发放为切入点，以完善管人管财管事、考核奖惩和项目资金监管制度为突破口，以加强领导班子和干部队伍建设为关键，在全系统持续开展“强素质、正行风、优服务、树形象”创建活动，把班子队伍建设、党风廉政建设等融入延伸到中心工作中去，行业整体素质得到持续加强，党建引领、党建统揽和抓党建就是抓中心的意识和观念，在全系统得到了广泛认同，形成了自觉行动。</w:t>
      </w:r>
    </w:p>
    <w:p>
      <w:pPr>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六）夯实工作基础，综治维稳成效明显。承办并回复各类信访案件14件，按时结案率100％，回复率100%。办理人大代表建议3件、政协委员提案3件，做到件件落实到人，件件代表满意；综治民调、扫黑除恶工作宣传到位，民调成绩在全区排名前列。饮用水源地</w:t>
      </w:r>
      <w:r>
        <w:rPr>
          <w:rFonts w:hint="eastAsia" w:ascii="仿宋" w:hAnsi="仿宋" w:eastAsia="仿宋" w:cs="仿宋"/>
          <w:b w:val="0"/>
          <w:bCs/>
          <w:sz w:val="30"/>
          <w:szCs w:val="30"/>
          <w:lang w:eastAsia="zh-CN"/>
        </w:rPr>
        <w:t>环保督察</w:t>
      </w:r>
      <w:bookmarkStart w:id="0" w:name="_GoBack"/>
      <w:bookmarkEnd w:id="0"/>
      <w:r>
        <w:rPr>
          <w:rFonts w:hint="eastAsia" w:ascii="仿宋" w:hAnsi="仿宋" w:eastAsia="仿宋" w:cs="仿宋"/>
          <w:b w:val="0"/>
          <w:bCs/>
          <w:sz w:val="30"/>
          <w:szCs w:val="30"/>
        </w:rPr>
        <w:t>落实到位，涉及的运输公司旱厕改建、红星码头污水直排、红星码头加装护栏等问题全部按时整改到位。</w:t>
      </w:r>
    </w:p>
    <w:p>
      <w:pPr>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七）深入推进改革，依法行政提速增效。“放管服”改革是激发市场活力、增强内生动力、释放内需潜力的战略举措，按照区里“三集中三到位”要求，我局将行政许可、行政裁决等行政职权划归局行政审批中心，及时安排中心入驻区政务服务大厅，保障办事人员力量。全年上报各类数据至信用永州、互联网+政务服务一体化平台，国家企业信用信息公示系统等平台11000多条。办理行政许可1353件，正确率100%，车辆年审1600余辆。切实做到压缩办理时限，简化办理流程，实现群众办事便利。</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（三）部门整体支出情况</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2018年</w:t>
      </w:r>
      <w:r>
        <w:rPr>
          <w:rFonts w:hint="eastAsia" w:ascii="仿宋" w:hAnsi="仿宋" w:eastAsia="仿宋" w:cs="仿宋"/>
          <w:sz w:val="30"/>
          <w:szCs w:val="30"/>
          <w:lang w:eastAsia="zh-CN"/>
        </w:rPr>
        <w:t>预算总</w:t>
      </w:r>
      <w:r>
        <w:rPr>
          <w:rFonts w:hint="eastAsia" w:ascii="仿宋" w:hAnsi="仿宋" w:eastAsia="仿宋" w:cs="仿宋"/>
          <w:sz w:val="30"/>
          <w:szCs w:val="30"/>
        </w:rPr>
        <w:t>支出</w:t>
      </w:r>
      <w:r>
        <w:rPr>
          <w:rFonts w:hint="eastAsia" w:ascii="仿宋" w:hAnsi="仿宋" w:eastAsia="仿宋" w:cs="仿宋"/>
          <w:sz w:val="30"/>
          <w:szCs w:val="30"/>
          <w:lang w:val="en-US" w:eastAsia="zh-CN"/>
        </w:rPr>
        <w:t>1068.707万元，其中</w:t>
      </w:r>
      <w:r>
        <w:rPr>
          <w:rFonts w:hint="eastAsia" w:ascii="仿宋" w:hAnsi="仿宋" w:eastAsia="仿宋" w:cs="仿宋"/>
          <w:sz w:val="30"/>
          <w:szCs w:val="30"/>
        </w:rPr>
        <w:t>工资福利支出</w:t>
      </w:r>
      <w:r>
        <w:rPr>
          <w:rFonts w:hint="eastAsia" w:ascii="仿宋" w:hAnsi="仿宋" w:eastAsia="仿宋" w:cs="仿宋"/>
          <w:sz w:val="30"/>
          <w:szCs w:val="30"/>
          <w:lang w:val="en-US" w:eastAsia="zh-CN"/>
        </w:rPr>
        <w:t>897.357</w:t>
      </w:r>
      <w:r>
        <w:rPr>
          <w:rFonts w:hint="eastAsia" w:ascii="仿宋" w:hAnsi="仿宋" w:eastAsia="仿宋" w:cs="仿宋"/>
          <w:sz w:val="30"/>
          <w:szCs w:val="30"/>
        </w:rPr>
        <w:t>万元</w:t>
      </w:r>
      <w:r>
        <w:rPr>
          <w:rFonts w:hint="eastAsia" w:ascii="仿宋" w:hAnsi="仿宋" w:eastAsia="仿宋" w:cs="仿宋"/>
          <w:sz w:val="30"/>
          <w:szCs w:val="30"/>
          <w:lang w:eastAsia="zh-CN"/>
        </w:rPr>
        <w:t>（含住房公积金</w:t>
      </w:r>
      <w:r>
        <w:rPr>
          <w:rFonts w:hint="eastAsia" w:ascii="仿宋" w:hAnsi="仿宋" w:eastAsia="仿宋" w:cs="仿宋"/>
          <w:sz w:val="30"/>
          <w:szCs w:val="30"/>
          <w:lang w:val="en-US" w:eastAsia="zh-CN"/>
        </w:rPr>
        <w:t>66.691万元</w:t>
      </w:r>
      <w:r>
        <w:rPr>
          <w:rFonts w:hint="eastAsia" w:ascii="仿宋" w:hAnsi="仿宋" w:eastAsia="仿宋" w:cs="仿宋"/>
          <w:sz w:val="30"/>
          <w:szCs w:val="30"/>
          <w:lang w:eastAsia="zh-CN"/>
        </w:rPr>
        <w:t>）</w:t>
      </w:r>
      <w:r>
        <w:rPr>
          <w:rFonts w:hint="eastAsia" w:ascii="仿宋" w:hAnsi="仿宋" w:eastAsia="仿宋" w:cs="仿宋"/>
          <w:sz w:val="30"/>
          <w:szCs w:val="30"/>
        </w:rPr>
        <w:t>，机关运行经费支出</w:t>
      </w:r>
      <w:r>
        <w:rPr>
          <w:rFonts w:hint="eastAsia" w:ascii="仿宋" w:hAnsi="仿宋" w:eastAsia="仿宋" w:cs="仿宋"/>
          <w:sz w:val="30"/>
          <w:szCs w:val="30"/>
          <w:lang w:val="en-US" w:eastAsia="zh-CN"/>
        </w:rPr>
        <w:t>52.5</w:t>
      </w:r>
      <w:r>
        <w:rPr>
          <w:rFonts w:hint="eastAsia" w:ascii="仿宋" w:hAnsi="仿宋" w:eastAsia="仿宋" w:cs="仿宋"/>
          <w:sz w:val="30"/>
          <w:szCs w:val="30"/>
        </w:rPr>
        <w:t>万元（</w:t>
      </w:r>
      <w:r>
        <w:rPr>
          <w:rFonts w:hint="eastAsia" w:ascii="仿宋" w:hAnsi="仿宋" w:eastAsia="仿宋" w:cs="仿宋"/>
          <w:sz w:val="30"/>
          <w:szCs w:val="30"/>
          <w:lang w:eastAsia="zh-CN"/>
        </w:rPr>
        <w:t>含党组织活动经费</w:t>
      </w:r>
      <w:r>
        <w:rPr>
          <w:rFonts w:hint="eastAsia" w:ascii="仿宋" w:hAnsi="仿宋" w:eastAsia="仿宋" w:cs="仿宋"/>
          <w:sz w:val="30"/>
          <w:szCs w:val="30"/>
          <w:lang w:val="en-US" w:eastAsia="zh-CN"/>
        </w:rPr>
        <w:t>16.61万元）</w:t>
      </w:r>
      <w:r>
        <w:rPr>
          <w:rFonts w:hint="eastAsia" w:ascii="仿宋" w:hAnsi="仿宋" w:eastAsia="仿宋" w:cs="仿宋"/>
          <w:sz w:val="30"/>
          <w:szCs w:val="30"/>
        </w:rPr>
        <w:t>，对个人和家庭的补助</w:t>
      </w:r>
      <w:r>
        <w:rPr>
          <w:rFonts w:hint="eastAsia" w:ascii="仿宋" w:hAnsi="仿宋" w:eastAsia="仿宋" w:cs="仿宋"/>
          <w:sz w:val="30"/>
          <w:szCs w:val="30"/>
          <w:lang w:val="en-US" w:eastAsia="zh-CN"/>
        </w:rPr>
        <w:t>1.53</w:t>
      </w:r>
      <w:r>
        <w:rPr>
          <w:rFonts w:hint="eastAsia" w:ascii="仿宋" w:hAnsi="仿宋" w:eastAsia="仿宋" w:cs="仿宋"/>
          <w:sz w:val="30"/>
          <w:szCs w:val="30"/>
        </w:rPr>
        <w:t>万元</w:t>
      </w:r>
      <w:r>
        <w:rPr>
          <w:rFonts w:hint="eastAsia" w:ascii="仿宋" w:hAnsi="仿宋" w:eastAsia="仿宋" w:cs="仿宋"/>
          <w:sz w:val="30"/>
          <w:szCs w:val="30"/>
          <w:lang w:eastAsia="zh-CN"/>
        </w:rPr>
        <w:t>，专项项目支出</w:t>
      </w:r>
      <w:r>
        <w:rPr>
          <w:rFonts w:hint="eastAsia" w:ascii="仿宋" w:hAnsi="仿宋" w:eastAsia="仿宋" w:cs="仿宋"/>
          <w:sz w:val="30"/>
          <w:szCs w:val="30"/>
          <w:lang w:val="en-US" w:eastAsia="zh-CN"/>
        </w:rPr>
        <w:t>117.32</w:t>
      </w:r>
      <w:r>
        <w:rPr>
          <w:rFonts w:hint="eastAsia" w:ascii="仿宋" w:hAnsi="仿宋" w:eastAsia="仿宋" w:cs="仿宋"/>
          <w:sz w:val="30"/>
          <w:szCs w:val="30"/>
        </w:rPr>
        <w:t>万元</w:t>
      </w:r>
      <w:r>
        <w:rPr>
          <w:rFonts w:hint="eastAsia" w:ascii="仿宋" w:hAnsi="仿宋" w:eastAsia="仿宋" w:cs="仿宋"/>
          <w:sz w:val="30"/>
          <w:szCs w:val="30"/>
          <w:lang w:eastAsia="zh-CN"/>
        </w:rPr>
        <w:t>（其中</w:t>
      </w:r>
      <w:r>
        <w:rPr>
          <w:rFonts w:hint="eastAsia" w:ascii="仿宋" w:hAnsi="仿宋" w:eastAsia="仿宋" w:cs="仿宋"/>
          <w:sz w:val="30"/>
          <w:szCs w:val="30"/>
        </w:rPr>
        <w:t>客渡船签单员补助经费6.48万元，视频监控系统运行经费5.77万元，</w:t>
      </w:r>
      <w:r>
        <w:rPr>
          <w:rFonts w:hint="eastAsia" w:ascii="仿宋" w:hAnsi="仿宋" w:eastAsia="仿宋" w:cs="仿宋"/>
          <w:sz w:val="30"/>
          <w:szCs w:val="30"/>
          <w:lang w:eastAsia="zh-CN"/>
        </w:rPr>
        <w:t>浮桥运营维护费</w:t>
      </w:r>
      <w:r>
        <w:rPr>
          <w:rFonts w:hint="eastAsia" w:ascii="仿宋" w:hAnsi="仿宋" w:eastAsia="仿宋" w:cs="仿宋"/>
          <w:sz w:val="30"/>
          <w:szCs w:val="30"/>
          <w:lang w:val="en-US" w:eastAsia="zh-CN"/>
        </w:rPr>
        <w:t>100万元</w:t>
      </w:r>
      <w:r>
        <w:rPr>
          <w:rFonts w:hint="eastAsia" w:ascii="仿宋" w:hAnsi="仿宋" w:eastAsia="仿宋" w:cs="仿宋"/>
          <w:sz w:val="30"/>
          <w:szCs w:val="30"/>
          <w:lang w:eastAsia="zh-CN"/>
        </w:rPr>
        <w:t>，纳入一般预算管理的非税收入拨款</w:t>
      </w:r>
      <w:r>
        <w:rPr>
          <w:rFonts w:hint="eastAsia" w:ascii="仿宋" w:hAnsi="仿宋" w:eastAsia="仿宋" w:cs="仿宋"/>
          <w:sz w:val="30"/>
          <w:szCs w:val="30"/>
          <w:lang w:val="en-US" w:eastAsia="zh-CN"/>
        </w:rPr>
        <w:t>5.07万元）</w:t>
      </w:r>
      <w:r>
        <w:rPr>
          <w:rFonts w:hint="eastAsia" w:ascii="仿宋" w:hAnsi="仿宋" w:eastAsia="仿宋" w:cs="仿宋"/>
          <w:sz w:val="30"/>
          <w:szCs w:val="30"/>
        </w:rPr>
        <w:t>。</w:t>
      </w:r>
    </w:p>
    <w:p>
      <w:pPr>
        <w:ind w:firstLine="600" w:firstLineChars="200"/>
        <w:rPr>
          <w:rFonts w:hint="eastAsia" w:ascii="黑体" w:hAnsi="黑体" w:eastAsia="黑体" w:cs="黑体"/>
          <w:sz w:val="30"/>
          <w:szCs w:val="30"/>
        </w:rPr>
      </w:pPr>
      <w:r>
        <w:rPr>
          <w:rFonts w:hint="eastAsia" w:ascii="黑体" w:hAnsi="黑体" w:eastAsia="黑体" w:cs="黑体"/>
          <w:sz w:val="30"/>
          <w:szCs w:val="30"/>
        </w:rPr>
        <w:t>二、部门整体支出管理及使用情况</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（一）基本支出情况。</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基本支出为</w:t>
      </w:r>
      <w:r>
        <w:rPr>
          <w:rFonts w:hint="eastAsia" w:ascii="仿宋" w:hAnsi="仿宋" w:eastAsia="仿宋" w:cs="仿宋"/>
          <w:sz w:val="30"/>
          <w:szCs w:val="30"/>
          <w:lang w:val="en-US" w:eastAsia="zh-CN"/>
        </w:rPr>
        <w:t>956.457</w:t>
      </w:r>
      <w:r>
        <w:rPr>
          <w:rFonts w:hint="eastAsia" w:ascii="仿宋" w:hAnsi="仿宋" w:eastAsia="仿宋" w:cs="仿宋"/>
          <w:sz w:val="30"/>
          <w:szCs w:val="30"/>
        </w:rPr>
        <w:t>万元，包含人员经费</w:t>
      </w:r>
      <w:r>
        <w:rPr>
          <w:rFonts w:hint="eastAsia" w:ascii="仿宋" w:hAnsi="仿宋" w:eastAsia="仿宋" w:cs="仿宋"/>
          <w:sz w:val="30"/>
          <w:szCs w:val="30"/>
          <w:lang w:val="en-US" w:eastAsia="zh-CN"/>
        </w:rPr>
        <w:t>898.887</w:t>
      </w:r>
      <w:r>
        <w:rPr>
          <w:rFonts w:hint="eastAsia" w:ascii="仿宋" w:hAnsi="仿宋" w:eastAsia="仿宋" w:cs="仿宋"/>
          <w:sz w:val="30"/>
          <w:szCs w:val="30"/>
        </w:rPr>
        <w:t>万元，日常公用经费</w:t>
      </w:r>
      <w:r>
        <w:rPr>
          <w:rFonts w:hint="eastAsia" w:ascii="仿宋" w:hAnsi="仿宋" w:eastAsia="仿宋" w:cs="仿宋"/>
          <w:sz w:val="30"/>
          <w:szCs w:val="30"/>
          <w:lang w:val="en-US" w:eastAsia="zh-CN"/>
        </w:rPr>
        <w:t>52.5</w:t>
      </w:r>
      <w:r>
        <w:rPr>
          <w:rFonts w:hint="eastAsia" w:ascii="仿宋" w:hAnsi="仿宋" w:eastAsia="仿宋" w:cs="仿宋"/>
          <w:sz w:val="30"/>
          <w:szCs w:val="30"/>
        </w:rPr>
        <w:t>万元。</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（二）项目支出情况。</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项目支出为</w:t>
      </w:r>
      <w:r>
        <w:rPr>
          <w:rFonts w:hint="eastAsia" w:ascii="仿宋" w:hAnsi="仿宋" w:eastAsia="仿宋" w:cs="仿宋"/>
          <w:sz w:val="30"/>
          <w:szCs w:val="30"/>
          <w:lang w:val="en-US" w:eastAsia="zh-CN"/>
        </w:rPr>
        <w:t>112.25</w:t>
      </w:r>
      <w:r>
        <w:rPr>
          <w:rFonts w:hint="eastAsia" w:ascii="仿宋" w:hAnsi="仿宋" w:eastAsia="仿宋" w:cs="仿宋"/>
          <w:sz w:val="30"/>
          <w:szCs w:val="30"/>
        </w:rPr>
        <w:t>万元。</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（三）“三公”经费情况</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1．因公出国（境）费用：0万元；</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2．公务接待费：</w:t>
      </w:r>
      <w:r>
        <w:rPr>
          <w:rFonts w:hint="eastAsia" w:ascii="仿宋" w:hAnsi="仿宋" w:eastAsia="仿宋" w:cs="仿宋"/>
          <w:sz w:val="30"/>
          <w:szCs w:val="30"/>
          <w:lang w:val="en-US" w:eastAsia="zh-CN"/>
        </w:rPr>
        <w:t>9</w:t>
      </w:r>
      <w:r>
        <w:rPr>
          <w:rFonts w:hint="eastAsia" w:ascii="仿宋" w:hAnsi="仿宋" w:eastAsia="仿宋" w:cs="仿宋"/>
          <w:sz w:val="30"/>
          <w:szCs w:val="30"/>
        </w:rPr>
        <w:t>万元；</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3．公务用车购置及运行费：</w:t>
      </w:r>
      <w:r>
        <w:rPr>
          <w:rFonts w:hint="eastAsia" w:ascii="仿宋" w:hAnsi="仿宋" w:eastAsia="仿宋" w:cs="仿宋"/>
          <w:sz w:val="30"/>
          <w:szCs w:val="30"/>
          <w:lang w:eastAsia="zh-CN"/>
        </w:rPr>
        <w:t>运行费</w:t>
      </w:r>
      <w:r>
        <w:rPr>
          <w:rFonts w:hint="eastAsia" w:ascii="仿宋" w:hAnsi="仿宋" w:eastAsia="仿宋" w:cs="仿宋"/>
          <w:sz w:val="30"/>
          <w:szCs w:val="30"/>
          <w:lang w:val="en-US" w:eastAsia="zh-CN"/>
        </w:rPr>
        <w:t>12.5</w:t>
      </w:r>
      <w:r>
        <w:rPr>
          <w:rFonts w:hint="eastAsia" w:ascii="仿宋" w:hAnsi="仿宋" w:eastAsia="仿宋" w:cs="仿宋"/>
          <w:sz w:val="30"/>
          <w:szCs w:val="30"/>
        </w:rPr>
        <w:t>万元</w:t>
      </w:r>
      <w:r>
        <w:rPr>
          <w:rFonts w:hint="eastAsia" w:ascii="仿宋" w:hAnsi="仿宋" w:eastAsia="仿宋" w:cs="仿宋"/>
          <w:sz w:val="30"/>
          <w:szCs w:val="30"/>
          <w:lang w:eastAsia="zh-CN"/>
        </w:rPr>
        <w:t>，无公务用车购置费</w:t>
      </w:r>
      <w:r>
        <w:rPr>
          <w:rFonts w:hint="eastAsia" w:ascii="仿宋" w:hAnsi="仿宋" w:eastAsia="仿宋" w:cs="仿宋"/>
          <w:sz w:val="30"/>
          <w:szCs w:val="30"/>
        </w:rPr>
        <w:t>。</w:t>
      </w:r>
    </w:p>
    <w:p>
      <w:pPr>
        <w:ind w:firstLine="600" w:firstLineChars="200"/>
        <w:rPr>
          <w:rFonts w:hint="eastAsia" w:ascii="黑体" w:hAnsi="黑体" w:eastAsia="黑体" w:cs="黑体"/>
          <w:b w:val="0"/>
          <w:bCs/>
          <w:sz w:val="30"/>
          <w:szCs w:val="30"/>
        </w:rPr>
      </w:pPr>
      <w:r>
        <w:rPr>
          <w:rFonts w:hint="eastAsia" w:ascii="黑体" w:hAnsi="黑体" w:eastAsia="黑体" w:cs="黑体"/>
          <w:b w:val="0"/>
          <w:bCs/>
          <w:sz w:val="30"/>
          <w:szCs w:val="30"/>
        </w:rPr>
        <w:t>三、部门整体支出绩效情况</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201</w:t>
      </w:r>
      <w:r>
        <w:rPr>
          <w:rFonts w:hint="eastAsia" w:ascii="仿宋" w:hAnsi="仿宋" w:eastAsia="仿宋" w:cs="仿宋"/>
          <w:sz w:val="30"/>
          <w:szCs w:val="30"/>
          <w:lang w:val="en-US" w:eastAsia="zh-CN"/>
        </w:rPr>
        <w:t>8</w:t>
      </w:r>
      <w:r>
        <w:rPr>
          <w:rFonts w:hint="eastAsia" w:ascii="仿宋" w:hAnsi="仿宋" w:eastAsia="仿宋" w:cs="仿宋"/>
          <w:sz w:val="30"/>
          <w:szCs w:val="30"/>
        </w:rPr>
        <w:t>年我单位工作人员尽职尽责，圆满完成了上级交办的各项工作。今年，全区“交通提速战役”重点项目计划实施9个，其中新开工项目3个，续建项目6个</w:t>
      </w:r>
      <w:r>
        <w:rPr>
          <w:rFonts w:hint="eastAsia" w:ascii="仿宋" w:hAnsi="仿宋" w:eastAsia="仿宋" w:cs="仿宋"/>
          <w:sz w:val="30"/>
          <w:szCs w:val="30"/>
          <w:lang w:eastAsia="zh-CN"/>
        </w:rPr>
        <w:t>，</w:t>
      </w:r>
      <w:r>
        <w:rPr>
          <w:rFonts w:hint="eastAsia" w:ascii="仿宋" w:hAnsi="仿宋" w:eastAsia="仿宋" w:cs="仿宋"/>
          <w:sz w:val="30"/>
          <w:szCs w:val="30"/>
        </w:rPr>
        <w:t>完成投资3.6亿元</w:t>
      </w:r>
      <w:r>
        <w:rPr>
          <w:rFonts w:hint="eastAsia" w:ascii="仿宋" w:hAnsi="仿宋" w:eastAsia="仿宋" w:cs="仿宋"/>
          <w:sz w:val="30"/>
          <w:szCs w:val="30"/>
          <w:lang w:eastAsia="zh-CN"/>
        </w:rPr>
        <w:t>。</w:t>
      </w:r>
      <w:r>
        <w:rPr>
          <w:rFonts w:hint="eastAsia" w:ascii="仿宋" w:hAnsi="仿宋" w:eastAsia="仿宋" w:cs="仿宋"/>
          <w:bCs/>
          <w:sz w:val="30"/>
          <w:szCs w:val="30"/>
        </w:rPr>
        <w:t>农村公路</w:t>
      </w:r>
      <w:r>
        <w:rPr>
          <w:rFonts w:hint="eastAsia" w:ascii="仿宋" w:hAnsi="仿宋" w:eastAsia="仿宋" w:cs="仿宋"/>
          <w:sz w:val="30"/>
          <w:szCs w:val="30"/>
        </w:rPr>
        <w:t>提质改造完成33.111公里，完成投资1035.32万元</w:t>
      </w:r>
      <w:r>
        <w:rPr>
          <w:rFonts w:hint="eastAsia" w:ascii="仿宋" w:hAnsi="仿宋" w:eastAsia="仿宋" w:cs="仿宋"/>
          <w:sz w:val="30"/>
          <w:szCs w:val="30"/>
          <w:lang w:eastAsia="zh-CN"/>
        </w:rPr>
        <w:t>。</w:t>
      </w:r>
      <w:r>
        <w:rPr>
          <w:rFonts w:hint="eastAsia" w:ascii="仿宋" w:hAnsi="仿宋" w:eastAsia="仿宋" w:cs="仿宋"/>
          <w:sz w:val="30"/>
          <w:szCs w:val="30"/>
        </w:rPr>
        <w:t>自然村通水泥（沥青）路完成28里，完成投资980万元</w:t>
      </w:r>
      <w:r>
        <w:rPr>
          <w:rFonts w:hint="eastAsia" w:ascii="仿宋" w:hAnsi="仿宋" w:eastAsia="仿宋" w:cs="仿宋"/>
          <w:sz w:val="30"/>
          <w:szCs w:val="30"/>
          <w:lang w:eastAsia="zh-CN"/>
        </w:rPr>
        <w:t>。</w:t>
      </w:r>
      <w:r>
        <w:rPr>
          <w:rFonts w:hint="eastAsia" w:ascii="仿宋" w:hAnsi="仿宋" w:eastAsia="仿宋" w:cs="仿宋"/>
          <w:sz w:val="30"/>
          <w:szCs w:val="30"/>
        </w:rPr>
        <w:t>完成农村公路改造75.239公里，完成投资2638.64万元</w:t>
      </w:r>
      <w:r>
        <w:rPr>
          <w:rFonts w:hint="eastAsia" w:ascii="仿宋" w:hAnsi="仿宋" w:eastAsia="仿宋" w:cs="仿宋"/>
          <w:sz w:val="30"/>
          <w:szCs w:val="30"/>
          <w:lang w:eastAsia="zh-CN"/>
        </w:rPr>
        <w:t>。</w:t>
      </w:r>
      <w:r>
        <w:rPr>
          <w:rFonts w:hint="eastAsia" w:ascii="仿宋" w:hAnsi="仿宋" w:eastAsia="仿宋" w:cs="仿宋"/>
          <w:sz w:val="30"/>
          <w:szCs w:val="30"/>
        </w:rPr>
        <w:t>危桥改造完成建设4座，完成投资298万元</w:t>
      </w:r>
      <w:r>
        <w:rPr>
          <w:rFonts w:hint="eastAsia" w:ascii="仿宋" w:hAnsi="仿宋" w:eastAsia="仿宋" w:cs="仿宋"/>
          <w:sz w:val="30"/>
          <w:szCs w:val="30"/>
          <w:lang w:eastAsia="zh-CN"/>
        </w:rPr>
        <w:t>。</w:t>
      </w:r>
      <w:r>
        <w:rPr>
          <w:rFonts w:hint="eastAsia" w:ascii="仿宋" w:hAnsi="仿宋" w:eastAsia="仿宋" w:cs="仿宋"/>
          <w:sz w:val="30"/>
          <w:szCs w:val="30"/>
        </w:rPr>
        <w:t>完成渡口码头改造1座，农村客运招呼站50个</w:t>
      </w:r>
      <w:r>
        <w:rPr>
          <w:rFonts w:hint="eastAsia" w:ascii="仿宋" w:hAnsi="仿宋" w:eastAsia="仿宋" w:cs="仿宋"/>
          <w:sz w:val="30"/>
          <w:szCs w:val="30"/>
          <w:lang w:eastAsia="zh-CN"/>
        </w:rPr>
        <w:t>。</w:t>
      </w:r>
      <w:r>
        <w:rPr>
          <w:rFonts w:hint="eastAsia" w:ascii="仿宋" w:hAnsi="仿宋" w:eastAsia="仿宋" w:cs="仿宋"/>
          <w:sz w:val="30"/>
          <w:szCs w:val="30"/>
        </w:rPr>
        <w:t>完成生命防护工程45公里。处置水毁等突发的重大道路安全隐患4处，完成投资20 万元。完成区交安委交办道路隐患任务20处，全力落实冷水滩区创建3A景区外围标志标牌项目。刘郝公路全线13.8公里实施中修工程，完成投资295万元，常规公路养护清理路肩杂草105公里，清扫路面120公里。</w:t>
      </w:r>
    </w:p>
    <w:p>
      <w:pPr>
        <w:ind w:firstLine="600" w:firstLineChars="200"/>
        <w:rPr>
          <w:rFonts w:hint="eastAsia" w:ascii="黑体" w:hAnsi="黑体" w:eastAsia="黑体" w:cs="黑体"/>
          <w:b w:val="0"/>
          <w:bCs/>
          <w:sz w:val="30"/>
          <w:szCs w:val="30"/>
        </w:rPr>
      </w:pPr>
      <w:r>
        <w:rPr>
          <w:rFonts w:hint="eastAsia" w:ascii="黑体" w:hAnsi="黑体" w:eastAsia="黑体" w:cs="黑体"/>
          <w:b w:val="0"/>
          <w:bCs/>
          <w:sz w:val="30"/>
          <w:szCs w:val="30"/>
        </w:rPr>
        <w:t>四、绩效自评得分情况及绩效等级</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本单位2018年整体支出绩效自评得分</w:t>
      </w:r>
      <w:r>
        <w:rPr>
          <w:rFonts w:hint="eastAsia" w:ascii="仿宋" w:hAnsi="仿宋" w:eastAsia="仿宋" w:cs="仿宋"/>
          <w:sz w:val="30"/>
          <w:szCs w:val="30"/>
          <w:lang w:val="en-US" w:eastAsia="zh-CN"/>
        </w:rPr>
        <w:t>86</w:t>
      </w:r>
      <w:r>
        <w:rPr>
          <w:rFonts w:hint="eastAsia" w:ascii="仿宋" w:hAnsi="仿宋" w:eastAsia="仿宋" w:cs="仿宋"/>
          <w:sz w:val="30"/>
          <w:szCs w:val="30"/>
        </w:rPr>
        <w:t>分。</w:t>
      </w:r>
    </w:p>
    <w:p>
      <w:pPr>
        <w:numPr>
          <w:ilvl w:val="0"/>
          <w:numId w:val="1"/>
        </w:numPr>
        <w:ind w:firstLine="600" w:firstLineChars="200"/>
        <w:rPr>
          <w:rFonts w:hint="eastAsia" w:ascii="黑体" w:hAnsi="黑体" w:eastAsia="黑体" w:cs="黑体"/>
          <w:sz w:val="30"/>
          <w:szCs w:val="30"/>
          <w:lang w:eastAsia="zh-CN"/>
        </w:rPr>
      </w:pPr>
      <w:r>
        <w:rPr>
          <w:rFonts w:hint="eastAsia" w:ascii="黑体" w:hAnsi="黑体" w:eastAsia="黑体" w:cs="黑体"/>
          <w:sz w:val="30"/>
          <w:szCs w:val="30"/>
          <w:lang w:eastAsia="zh-CN"/>
        </w:rPr>
        <w:t>存在的问题</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由于事业单位公务用车改革暂未施行，致使我局下属事业单位公路站、海事局、质监站、路政大队的</w:t>
      </w:r>
      <w:r>
        <w:rPr>
          <w:rFonts w:hint="eastAsia" w:ascii="仿宋" w:hAnsi="仿宋" w:eastAsia="仿宋" w:cs="仿宋"/>
          <w:sz w:val="30"/>
          <w:szCs w:val="30"/>
          <w:lang w:val="en-US" w:eastAsia="zh-CN"/>
        </w:rPr>
        <w:t>3辆执法车和2辆工具车产生公务用车运行费。</w:t>
      </w:r>
    </w:p>
    <w:p>
      <w:pPr>
        <w:ind w:firstLine="600" w:firstLineChars="200"/>
        <w:rPr>
          <w:rFonts w:hint="eastAsia" w:ascii="黑体" w:hAnsi="黑体" w:eastAsia="黑体" w:cs="黑体"/>
          <w:b w:val="0"/>
          <w:bCs/>
          <w:sz w:val="30"/>
          <w:szCs w:val="30"/>
        </w:rPr>
      </w:pPr>
      <w:r>
        <w:rPr>
          <w:rFonts w:hint="eastAsia" w:ascii="黑体" w:hAnsi="黑体" w:eastAsia="黑体" w:cs="黑体"/>
          <w:b w:val="0"/>
          <w:bCs/>
          <w:sz w:val="30"/>
          <w:szCs w:val="30"/>
          <w:lang w:eastAsia="zh-CN"/>
        </w:rPr>
        <w:t>六</w:t>
      </w:r>
      <w:r>
        <w:rPr>
          <w:rFonts w:hint="eastAsia" w:ascii="黑体" w:hAnsi="黑体" w:eastAsia="黑体" w:cs="黑体"/>
          <w:b w:val="0"/>
          <w:bCs/>
          <w:sz w:val="30"/>
          <w:szCs w:val="30"/>
        </w:rPr>
        <w:t>、改进措施和有关建议</w:t>
      </w:r>
    </w:p>
    <w:p>
      <w:pPr>
        <w:adjustRightInd w:val="0"/>
        <w:snapToGrid w:val="0"/>
        <w:spacing w:line="5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1、严格按照财政制度和纪委规定，三公经费要厉行节约。</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2、我单位公用经费严重短缺，财政安排的预算仅基本维持我单位正常工作人员的基本支出，公务用车运行费、培训费、差旅费、办公经费等经费短缺，而我单位属全额拨款</w:t>
      </w:r>
      <w:r>
        <w:rPr>
          <w:rFonts w:hint="eastAsia" w:ascii="仿宋" w:hAnsi="仿宋" w:eastAsia="仿宋" w:cs="仿宋"/>
          <w:sz w:val="30"/>
          <w:szCs w:val="30"/>
          <w:lang w:eastAsia="zh-CN"/>
        </w:rPr>
        <w:t>行政</w:t>
      </w:r>
      <w:r>
        <w:rPr>
          <w:rFonts w:hint="eastAsia" w:ascii="仿宋" w:hAnsi="仿宋" w:eastAsia="仿宋" w:cs="仿宋"/>
          <w:sz w:val="30"/>
          <w:szCs w:val="30"/>
        </w:rPr>
        <w:t>单位，无其他任何收入来源，恳请财政安排解决。</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建议将成品油税费改革转移支付资金659.5万元（含公路养护资金310万元）列入交通局财政预算。根据永财预[2014]22号《关于下达2014年成品油税费改革转移支付资金的通知》和湘政发[2009]13号《关于实施成品油税费改革完善交通体制和加快交通发展的意见》的文件精神，要求我区合理、足额编制交通支出预算，全额用于交通事业发展项目。</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4、建议将交通建设地方配套资金1500万元列入交通局预算。</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建议增加海事工作专项经费30万元，客船移动视频监控费4万元。冷水滩区地方海事局自2012年成立以来，现有干部职工12人，负责全区76公里通航水域的船舶、船员管理、安全监管、航道维护等工作。根据冷政办发[2012]2号《关于印发&lt;永州市冷水滩区乡镇船舶和渡口安全管理办法&gt; 的通知》文件，区政府负责落实将海事管理机构人员经费、公用经费和专项经费纳入同级财政预算，建议安排海事工作专项经费30万元。根据湘政办函[2011]171号《关于建设水上交通安全视频监控系统的通知》、</w:t>
      </w:r>
      <w:r>
        <w:rPr>
          <w:rFonts w:hint="eastAsia" w:ascii="仿宋" w:hAnsi="仿宋" w:eastAsia="仿宋" w:cs="仿宋"/>
          <w:color w:val="000000"/>
          <w:sz w:val="30"/>
          <w:szCs w:val="30"/>
          <w:highlight w:val="none"/>
          <w:lang w:eastAsia="zh-CN"/>
        </w:rPr>
        <w:t>湖南省交通运输厅《关于加快推进客船视频监控系统项目建设的通知》（湘交办函</w:t>
      </w:r>
      <w:r>
        <w:rPr>
          <w:rFonts w:hint="eastAsia" w:ascii="仿宋" w:hAnsi="仿宋" w:eastAsia="仿宋" w:cs="仿宋"/>
          <w:color w:val="000000"/>
          <w:sz w:val="30"/>
          <w:szCs w:val="30"/>
          <w:highlight w:val="none"/>
          <w:lang w:val="en-US" w:eastAsia="zh-CN"/>
        </w:rPr>
        <w:t>[2015]250号</w:t>
      </w:r>
      <w:r>
        <w:rPr>
          <w:rFonts w:hint="eastAsia" w:ascii="仿宋" w:hAnsi="仿宋" w:eastAsia="仿宋" w:cs="仿宋"/>
          <w:color w:val="000000"/>
          <w:sz w:val="30"/>
          <w:szCs w:val="30"/>
          <w:highlight w:val="none"/>
          <w:lang w:eastAsia="zh-CN"/>
        </w:rPr>
        <w:t>）</w:t>
      </w:r>
      <w:r>
        <w:rPr>
          <w:rFonts w:hint="eastAsia" w:ascii="仿宋" w:hAnsi="仿宋" w:eastAsia="仿宋" w:cs="仿宋"/>
          <w:sz w:val="30"/>
          <w:szCs w:val="30"/>
          <w:lang w:val="en-US" w:eastAsia="zh-CN"/>
        </w:rPr>
        <w:t>及与中国电信签订的湖南省客船视频监控系统项目服务采购框架协议，建议区政府安排客船移动视频监控费4万元。</w:t>
      </w:r>
    </w:p>
    <w:p>
      <w:pPr>
        <w:adjustRightInd w:val="0"/>
        <w:snapToGrid w:val="0"/>
        <w:spacing w:line="560" w:lineRule="exact"/>
        <w:ind w:firstLine="600"/>
        <w:jc w:val="left"/>
        <w:rPr>
          <w:rFonts w:hint="eastAsia" w:ascii="仿宋" w:hAnsi="仿宋" w:eastAsia="仿宋" w:cs="仿宋"/>
          <w:sz w:val="30"/>
          <w:szCs w:val="30"/>
        </w:rPr>
      </w:pPr>
    </w:p>
    <w:p>
      <w:pPr>
        <w:adjustRightInd w:val="0"/>
        <w:snapToGrid w:val="0"/>
        <w:spacing w:line="560" w:lineRule="exact"/>
        <w:ind w:firstLine="600"/>
        <w:jc w:val="left"/>
        <w:rPr>
          <w:rFonts w:hint="eastAsia" w:ascii="仿宋" w:hAnsi="仿宋" w:eastAsia="仿宋" w:cs="仿宋"/>
          <w:sz w:val="30"/>
          <w:szCs w:val="30"/>
        </w:rPr>
      </w:pPr>
    </w:p>
    <w:p>
      <w:pPr>
        <w:adjustRightInd w:val="0"/>
        <w:snapToGrid w:val="0"/>
        <w:spacing w:line="560" w:lineRule="exact"/>
        <w:ind w:firstLine="600"/>
        <w:jc w:val="left"/>
        <w:rPr>
          <w:rFonts w:hint="eastAsia" w:ascii="仿宋" w:hAnsi="仿宋" w:eastAsia="仿宋" w:cs="仿宋"/>
          <w:sz w:val="30"/>
          <w:szCs w:val="30"/>
        </w:rPr>
      </w:pPr>
    </w:p>
    <w:p>
      <w:pPr>
        <w:adjustRightInd w:val="0"/>
        <w:snapToGrid w:val="0"/>
        <w:spacing w:line="560" w:lineRule="exact"/>
        <w:ind w:firstLine="600"/>
        <w:jc w:val="left"/>
        <w:rPr>
          <w:rFonts w:hint="eastAsia" w:ascii="仿宋" w:hAnsi="仿宋" w:eastAsia="仿宋" w:cs="仿宋"/>
          <w:sz w:val="30"/>
          <w:szCs w:val="30"/>
        </w:rPr>
      </w:pPr>
    </w:p>
    <w:p>
      <w:pPr>
        <w:adjustRightInd w:val="0"/>
        <w:snapToGrid w:val="0"/>
        <w:spacing w:line="560" w:lineRule="exact"/>
        <w:ind w:firstLine="600"/>
        <w:jc w:val="left"/>
        <w:rPr>
          <w:rFonts w:hint="eastAsia" w:ascii="仿宋" w:hAnsi="仿宋" w:eastAsia="仿宋" w:cs="仿宋"/>
          <w:sz w:val="30"/>
          <w:szCs w:val="30"/>
        </w:rPr>
      </w:pPr>
    </w:p>
    <w:p>
      <w:pPr>
        <w:adjustRightInd w:val="0"/>
        <w:snapToGrid w:val="0"/>
        <w:spacing w:line="560" w:lineRule="exact"/>
        <w:ind w:firstLine="600"/>
        <w:jc w:val="left"/>
        <w:rPr>
          <w:rFonts w:hint="eastAsia" w:ascii="仿宋" w:hAnsi="仿宋" w:eastAsia="仿宋" w:cs="仿宋"/>
          <w:sz w:val="30"/>
          <w:szCs w:val="30"/>
        </w:rPr>
      </w:pPr>
    </w:p>
    <w:p>
      <w:pPr>
        <w:adjustRightInd w:val="0"/>
        <w:snapToGrid w:val="0"/>
        <w:spacing w:line="560" w:lineRule="exact"/>
        <w:ind w:firstLine="600"/>
        <w:jc w:val="left"/>
        <w:rPr>
          <w:rFonts w:hint="eastAsia" w:ascii="仿宋" w:hAnsi="仿宋" w:eastAsia="仿宋" w:cs="仿宋"/>
          <w:sz w:val="30"/>
          <w:szCs w:val="30"/>
        </w:rPr>
      </w:pPr>
    </w:p>
    <w:p>
      <w:pPr>
        <w:adjustRightInd w:val="0"/>
        <w:snapToGrid w:val="0"/>
        <w:spacing w:line="560" w:lineRule="exact"/>
        <w:ind w:firstLine="600"/>
        <w:jc w:val="left"/>
        <w:rPr>
          <w:rFonts w:hint="eastAsia" w:ascii="仿宋" w:hAnsi="仿宋" w:eastAsia="仿宋" w:cs="仿宋"/>
          <w:sz w:val="30"/>
          <w:szCs w:val="30"/>
        </w:rPr>
      </w:pPr>
    </w:p>
    <w:p>
      <w:pPr>
        <w:adjustRightInd w:val="0"/>
        <w:snapToGrid w:val="0"/>
        <w:spacing w:line="560" w:lineRule="exact"/>
        <w:ind w:firstLine="600"/>
        <w:jc w:val="left"/>
        <w:rPr>
          <w:rFonts w:hint="eastAsia" w:ascii="仿宋" w:hAnsi="仿宋" w:eastAsia="仿宋" w:cs="仿宋"/>
          <w:sz w:val="30"/>
          <w:szCs w:val="30"/>
        </w:rPr>
      </w:pPr>
    </w:p>
    <w:p>
      <w:pPr>
        <w:adjustRightInd w:val="0"/>
        <w:snapToGrid w:val="0"/>
        <w:spacing w:line="560" w:lineRule="exact"/>
        <w:ind w:firstLine="600"/>
        <w:jc w:val="left"/>
        <w:rPr>
          <w:rFonts w:hint="eastAsia" w:ascii="仿宋" w:hAnsi="仿宋" w:eastAsia="仿宋" w:cs="仿宋"/>
          <w:sz w:val="30"/>
          <w:szCs w:val="30"/>
        </w:rPr>
      </w:pPr>
    </w:p>
    <w:p>
      <w:pPr>
        <w:adjustRightInd w:val="0"/>
        <w:snapToGrid w:val="0"/>
        <w:spacing w:line="560" w:lineRule="exact"/>
        <w:ind w:firstLine="600"/>
        <w:jc w:val="left"/>
        <w:rPr>
          <w:rFonts w:hint="eastAsia" w:ascii="仿宋" w:hAnsi="仿宋" w:eastAsia="仿宋" w:cs="仿宋"/>
          <w:sz w:val="30"/>
          <w:szCs w:val="30"/>
        </w:rPr>
      </w:pPr>
    </w:p>
    <w:p>
      <w:pPr>
        <w:adjustRightInd w:val="0"/>
        <w:snapToGrid w:val="0"/>
        <w:spacing w:line="560" w:lineRule="exact"/>
        <w:ind w:firstLine="600"/>
        <w:jc w:val="left"/>
        <w:rPr>
          <w:rFonts w:hint="eastAsia" w:ascii="仿宋" w:hAnsi="仿宋" w:eastAsia="仿宋" w:cs="仿宋"/>
          <w:sz w:val="30"/>
          <w:szCs w:val="30"/>
        </w:rPr>
      </w:pPr>
    </w:p>
    <w:p>
      <w:pPr>
        <w:adjustRightInd w:val="0"/>
        <w:snapToGrid w:val="0"/>
        <w:spacing w:line="560" w:lineRule="exact"/>
        <w:ind w:firstLine="600"/>
        <w:jc w:val="left"/>
        <w:rPr>
          <w:rFonts w:hint="eastAsia" w:ascii="仿宋" w:hAnsi="仿宋" w:eastAsia="仿宋" w:cs="仿宋"/>
          <w:sz w:val="30"/>
          <w:szCs w:val="30"/>
        </w:rPr>
      </w:pPr>
    </w:p>
    <w:p>
      <w:pPr>
        <w:adjustRightInd w:val="0"/>
        <w:snapToGrid w:val="0"/>
        <w:spacing w:line="560" w:lineRule="exact"/>
        <w:ind w:firstLine="600"/>
        <w:jc w:val="left"/>
        <w:rPr>
          <w:rFonts w:hint="eastAsia" w:ascii="仿宋" w:hAnsi="仿宋" w:eastAsia="仿宋" w:cs="仿宋"/>
          <w:sz w:val="30"/>
          <w:szCs w:val="30"/>
        </w:rPr>
      </w:pPr>
    </w:p>
    <w:p>
      <w:pPr>
        <w:adjustRightInd w:val="0"/>
        <w:snapToGrid w:val="0"/>
        <w:spacing w:line="560" w:lineRule="exact"/>
        <w:ind w:firstLine="600"/>
        <w:jc w:val="left"/>
        <w:rPr>
          <w:rFonts w:hint="eastAsia" w:ascii="仿宋" w:hAnsi="仿宋" w:eastAsia="仿宋" w:cs="仿宋"/>
          <w:sz w:val="30"/>
          <w:szCs w:val="30"/>
        </w:rPr>
      </w:pPr>
    </w:p>
    <w:p>
      <w:pPr>
        <w:adjustRightInd w:val="0"/>
        <w:snapToGrid w:val="0"/>
        <w:spacing w:line="560" w:lineRule="exact"/>
        <w:ind w:firstLine="600"/>
        <w:jc w:val="left"/>
        <w:rPr>
          <w:rFonts w:hint="eastAsia" w:ascii="仿宋" w:hAnsi="仿宋" w:eastAsia="仿宋" w:cs="仿宋"/>
          <w:sz w:val="30"/>
          <w:szCs w:val="30"/>
        </w:rPr>
      </w:pPr>
    </w:p>
    <w:p>
      <w:pPr>
        <w:adjustRightInd w:val="0"/>
        <w:snapToGrid w:val="0"/>
        <w:spacing w:line="560" w:lineRule="exact"/>
        <w:ind w:firstLine="600"/>
        <w:jc w:val="left"/>
        <w:rPr>
          <w:rFonts w:hint="eastAsia" w:ascii="仿宋" w:hAnsi="仿宋" w:eastAsia="仿宋" w:cs="仿宋"/>
          <w:sz w:val="30"/>
          <w:szCs w:val="30"/>
        </w:rPr>
      </w:pPr>
    </w:p>
    <w:p>
      <w:pPr>
        <w:adjustRightInd w:val="0"/>
        <w:snapToGrid w:val="0"/>
        <w:spacing w:line="560" w:lineRule="exact"/>
        <w:ind w:firstLine="600"/>
        <w:jc w:val="left"/>
        <w:rPr>
          <w:rFonts w:hint="eastAsia" w:ascii="仿宋" w:hAnsi="仿宋" w:eastAsia="仿宋" w:cs="仿宋"/>
          <w:sz w:val="30"/>
          <w:szCs w:val="30"/>
        </w:rPr>
      </w:pPr>
    </w:p>
    <w:p>
      <w:pPr>
        <w:adjustRightInd w:val="0"/>
        <w:snapToGrid w:val="0"/>
        <w:spacing w:line="560" w:lineRule="exact"/>
        <w:ind w:firstLine="600"/>
        <w:jc w:val="left"/>
        <w:rPr>
          <w:rFonts w:hint="eastAsia" w:ascii="仿宋" w:hAnsi="仿宋" w:eastAsia="仿宋" w:cs="仿宋"/>
          <w:sz w:val="30"/>
          <w:szCs w:val="30"/>
        </w:rPr>
      </w:pPr>
    </w:p>
    <w:p>
      <w:pPr>
        <w:adjustRightInd w:val="0"/>
        <w:snapToGrid w:val="0"/>
        <w:spacing w:line="560" w:lineRule="exact"/>
        <w:ind w:firstLine="600"/>
        <w:jc w:val="left"/>
        <w:rPr>
          <w:rFonts w:hint="eastAsia" w:ascii="仿宋" w:hAnsi="仿宋" w:eastAsia="仿宋" w:cs="仿宋"/>
          <w:sz w:val="30"/>
          <w:szCs w:val="30"/>
        </w:rPr>
      </w:pPr>
    </w:p>
    <w:p>
      <w:pPr>
        <w:adjustRightInd w:val="0"/>
        <w:snapToGrid w:val="0"/>
        <w:spacing w:line="560" w:lineRule="exact"/>
        <w:ind w:firstLine="600"/>
        <w:jc w:val="left"/>
        <w:rPr>
          <w:rFonts w:hint="eastAsia" w:ascii="仿宋" w:hAnsi="仿宋" w:eastAsia="仿宋" w:cs="仿宋"/>
          <w:sz w:val="30"/>
          <w:szCs w:val="30"/>
        </w:rPr>
      </w:pPr>
    </w:p>
    <w:p>
      <w:pPr>
        <w:widowControl/>
        <w:rPr>
          <w:rFonts w:hint="eastAsia" w:ascii="仿宋" w:hAnsi="仿宋" w:eastAsia="仿宋" w:cs="仿宋"/>
          <w:bCs/>
          <w:kern w:val="0"/>
          <w:sz w:val="30"/>
          <w:szCs w:val="30"/>
        </w:rPr>
      </w:pPr>
      <w:r>
        <w:rPr>
          <w:rFonts w:hint="eastAsia" w:ascii="仿宋" w:hAnsi="仿宋" w:eastAsia="仿宋" w:cs="仿宋"/>
          <w:bCs/>
          <w:kern w:val="0"/>
          <w:sz w:val="30"/>
          <w:szCs w:val="30"/>
        </w:rPr>
        <w:t>附件4</w:t>
      </w:r>
    </w:p>
    <w:p>
      <w:pPr>
        <w:spacing w:line="560" w:lineRule="exact"/>
        <w:jc w:val="center"/>
        <w:rPr>
          <w:rFonts w:hint="eastAsia" w:ascii="黑体" w:hAnsi="黑体" w:eastAsia="黑体" w:cs="黑体"/>
          <w:kern w:val="0"/>
          <w:sz w:val="36"/>
          <w:szCs w:val="36"/>
        </w:rPr>
      </w:pPr>
      <w:r>
        <w:rPr>
          <w:rFonts w:hint="eastAsia" w:ascii="黑体" w:hAnsi="黑体" w:eastAsia="黑体" w:cs="黑体"/>
          <w:kern w:val="0"/>
          <w:sz w:val="36"/>
          <w:szCs w:val="36"/>
        </w:rPr>
        <w:t>2018年度部门整体支出绩效评价表</w:t>
      </w:r>
    </w:p>
    <w:tbl>
      <w:tblPr>
        <w:tblStyle w:val="5"/>
        <w:tblW w:w="10600" w:type="dxa"/>
        <w:jc w:val="center"/>
        <w:tblLayout w:type="fixed"/>
        <w:tblCellMar>
          <w:top w:w="0" w:type="dxa"/>
          <w:left w:w="108" w:type="dxa"/>
          <w:bottom w:w="0" w:type="dxa"/>
          <w:right w:w="108" w:type="dxa"/>
        </w:tblCellMar>
      </w:tblPr>
      <w:tblGrid>
        <w:gridCol w:w="396"/>
        <w:gridCol w:w="461"/>
        <w:gridCol w:w="589"/>
        <w:gridCol w:w="427"/>
        <w:gridCol w:w="1348"/>
        <w:gridCol w:w="478"/>
        <w:gridCol w:w="2977"/>
        <w:gridCol w:w="3176"/>
        <w:gridCol w:w="748"/>
      </w:tblGrid>
      <w:tr>
        <w:tblPrEx>
          <w:tblCellMar>
            <w:top w:w="0" w:type="dxa"/>
            <w:left w:w="108" w:type="dxa"/>
            <w:bottom w:w="0" w:type="dxa"/>
            <w:right w:w="108" w:type="dxa"/>
          </w:tblCellMar>
        </w:tblPrEx>
        <w:trPr>
          <w:trHeight w:val="984" w:hRule="atLeast"/>
          <w:tblHeader/>
          <w:jc w:val="center"/>
        </w:trPr>
        <w:tc>
          <w:tcPr>
            <w:tcW w:w="3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一级指标</w:t>
            </w:r>
          </w:p>
        </w:tc>
        <w:tc>
          <w:tcPr>
            <w:tcW w:w="46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分值</w:t>
            </w:r>
          </w:p>
        </w:tc>
        <w:tc>
          <w:tcPr>
            <w:tcW w:w="58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二级指标</w:t>
            </w:r>
          </w:p>
        </w:tc>
        <w:tc>
          <w:tcPr>
            <w:tcW w:w="427"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分值</w:t>
            </w:r>
          </w:p>
        </w:tc>
        <w:tc>
          <w:tcPr>
            <w:tcW w:w="134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三级</w:t>
            </w:r>
          </w:p>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指标</w:t>
            </w:r>
          </w:p>
        </w:tc>
        <w:tc>
          <w:tcPr>
            <w:tcW w:w="47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分值</w:t>
            </w:r>
          </w:p>
        </w:tc>
        <w:tc>
          <w:tcPr>
            <w:tcW w:w="2977"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评价标准</w:t>
            </w:r>
          </w:p>
        </w:tc>
        <w:tc>
          <w:tcPr>
            <w:tcW w:w="317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指标说明</w:t>
            </w:r>
          </w:p>
        </w:tc>
        <w:tc>
          <w:tcPr>
            <w:tcW w:w="74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得分</w:t>
            </w:r>
          </w:p>
        </w:tc>
      </w:tr>
      <w:tr>
        <w:tblPrEx>
          <w:tblCellMar>
            <w:top w:w="0" w:type="dxa"/>
            <w:left w:w="108" w:type="dxa"/>
            <w:bottom w:w="0" w:type="dxa"/>
            <w:right w:w="108" w:type="dxa"/>
          </w:tblCellMar>
        </w:tblPrEx>
        <w:trPr>
          <w:trHeight w:val="90" w:hRule="atLeast"/>
          <w:jc w:val="center"/>
        </w:trPr>
        <w:tc>
          <w:tcPr>
            <w:tcW w:w="396"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投入</w:t>
            </w:r>
          </w:p>
        </w:tc>
        <w:tc>
          <w:tcPr>
            <w:tcW w:w="461"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w:t>
            </w:r>
          </w:p>
        </w:tc>
        <w:tc>
          <w:tcPr>
            <w:tcW w:w="589" w:type="dxa"/>
            <w:vMerge w:val="restart"/>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预算配置</w:t>
            </w:r>
          </w:p>
        </w:tc>
        <w:tc>
          <w:tcPr>
            <w:tcW w:w="427"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w:t>
            </w:r>
          </w:p>
        </w:tc>
        <w:tc>
          <w:tcPr>
            <w:tcW w:w="134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在职人员控制率</w:t>
            </w:r>
          </w:p>
        </w:tc>
        <w:tc>
          <w:tcPr>
            <w:tcW w:w="47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2977" w:type="dxa"/>
            <w:tcBorders>
              <w:top w:val="nil"/>
              <w:left w:val="nil"/>
              <w:bottom w:val="nil"/>
              <w:right w:val="nil"/>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以100%为标准。在职人员控制率≦100%，计5分；每超过一个百分点扣0.5分，扣完为止。</w:t>
            </w:r>
          </w:p>
        </w:tc>
        <w:tc>
          <w:tcPr>
            <w:tcW w:w="3176" w:type="dxa"/>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在职人员控制率=（在职人员数/编制数）×100%，在职人员数：部门（单位）实际在职人数，以市财政局确定的部门决算编制口径为准。</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编制数：机构编制部门核定批复的部门（单位）的人员编制数。</w:t>
            </w:r>
          </w:p>
        </w:tc>
        <w:tc>
          <w:tcPr>
            <w:tcW w:w="74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　5</w:t>
            </w:r>
          </w:p>
        </w:tc>
      </w:tr>
      <w:tr>
        <w:tblPrEx>
          <w:tblCellMar>
            <w:top w:w="0" w:type="dxa"/>
            <w:left w:w="108" w:type="dxa"/>
            <w:bottom w:w="0" w:type="dxa"/>
            <w:right w:w="108" w:type="dxa"/>
          </w:tblCellMar>
        </w:tblPrEx>
        <w:trPr>
          <w:trHeight w:val="798"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p>
        </w:tc>
        <w:tc>
          <w:tcPr>
            <w:tcW w:w="46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18"/>
                <w:szCs w:val="18"/>
              </w:rPr>
            </w:pPr>
          </w:p>
        </w:tc>
        <w:tc>
          <w:tcPr>
            <w:tcW w:w="589" w:type="dxa"/>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p>
        </w:tc>
        <w:tc>
          <w:tcPr>
            <w:tcW w:w="42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18"/>
                <w:szCs w:val="18"/>
              </w:rPr>
            </w:pPr>
          </w:p>
        </w:tc>
        <w:tc>
          <w:tcPr>
            <w:tcW w:w="134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“三公经费”变动率</w:t>
            </w:r>
          </w:p>
        </w:tc>
        <w:tc>
          <w:tcPr>
            <w:tcW w:w="47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2977"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“三公经费”变动率≦0,计8分；“三公经费”＞0，每超过一个百分点扣0.8分，扣完为止。</w:t>
            </w:r>
          </w:p>
        </w:tc>
        <w:tc>
          <w:tcPr>
            <w:tcW w:w="3176"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“三公经费”变动率=[（本年度“三公经费”预算数-上年度“三公经费”预算数）/上年度“三公经费”预算数]×100%</w:t>
            </w:r>
          </w:p>
        </w:tc>
        <w:tc>
          <w:tcPr>
            <w:tcW w:w="74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lang w:eastAsia="zh-CN"/>
              </w:rPr>
            </w:pPr>
            <w:r>
              <w:rPr>
                <w:rFonts w:hint="eastAsia" w:ascii="仿宋" w:hAnsi="仿宋" w:eastAsia="仿宋" w:cs="仿宋"/>
                <w:kern w:val="0"/>
                <w:sz w:val="18"/>
                <w:szCs w:val="18"/>
              </w:rPr>
              <w:t>　</w:t>
            </w:r>
            <w:r>
              <w:rPr>
                <w:rFonts w:hint="eastAsia" w:ascii="仿宋" w:hAnsi="仿宋" w:eastAsia="仿宋" w:cs="仿宋"/>
                <w:kern w:val="0"/>
                <w:sz w:val="18"/>
                <w:szCs w:val="18"/>
                <w:lang w:val="en-US" w:eastAsia="zh-CN"/>
              </w:rPr>
              <w:t>8</w:t>
            </w:r>
          </w:p>
        </w:tc>
      </w:tr>
      <w:tr>
        <w:tblPrEx>
          <w:tblCellMar>
            <w:top w:w="0" w:type="dxa"/>
            <w:left w:w="108" w:type="dxa"/>
            <w:bottom w:w="0" w:type="dxa"/>
            <w:right w:w="108" w:type="dxa"/>
          </w:tblCellMar>
        </w:tblPrEx>
        <w:trPr>
          <w:jc w:val="center"/>
        </w:trPr>
        <w:tc>
          <w:tcPr>
            <w:tcW w:w="396"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过                                                                                                                                       程</w:t>
            </w:r>
          </w:p>
        </w:tc>
        <w:tc>
          <w:tcPr>
            <w:tcW w:w="461"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60</w:t>
            </w:r>
          </w:p>
        </w:tc>
        <w:tc>
          <w:tcPr>
            <w:tcW w:w="589"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预算执行</w:t>
            </w:r>
          </w:p>
        </w:tc>
        <w:tc>
          <w:tcPr>
            <w:tcW w:w="427"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20</w:t>
            </w:r>
          </w:p>
        </w:tc>
        <w:tc>
          <w:tcPr>
            <w:tcW w:w="134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预算完成率</w:t>
            </w:r>
          </w:p>
        </w:tc>
        <w:tc>
          <w:tcPr>
            <w:tcW w:w="47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2977"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100%计满分，每低于5%扣2分，扣完为止。</w:t>
            </w:r>
          </w:p>
        </w:tc>
        <w:tc>
          <w:tcPr>
            <w:tcW w:w="3176"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预算完成率=（上年结转+年初预算+本年追加预算-年末结余）/（上年结转+年初预算+本年追加预算）×100%。</w:t>
            </w:r>
          </w:p>
        </w:tc>
        <w:tc>
          <w:tcPr>
            <w:tcW w:w="74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　5</w:t>
            </w:r>
          </w:p>
        </w:tc>
      </w:tr>
      <w:tr>
        <w:tblPrEx>
          <w:tblCellMar>
            <w:top w:w="0" w:type="dxa"/>
            <w:left w:w="108" w:type="dxa"/>
            <w:bottom w:w="0" w:type="dxa"/>
            <w:right w:w="108" w:type="dxa"/>
          </w:tblCellMar>
        </w:tblPrEx>
        <w:trPr>
          <w:trHeight w:val="1273" w:hRule="atLeast"/>
          <w:jc w:val="center"/>
        </w:trPr>
        <w:tc>
          <w:tcPr>
            <w:tcW w:w="39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18"/>
                <w:szCs w:val="18"/>
              </w:rPr>
            </w:pPr>
          </w:p>
        </w:tc>
        <w:tc>
          <w:tcPr>
            <w:tcW w:w="46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18"/>
                <w:szCs w:val="18"/>
              </w:rPr>
            </w:pPr>
          </w:p>
        </w:tc>
        <w:tc>
          <w:tcPr>
            <w:tcW w:w="58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18"/>
                <w:szCs w:val="18"/>
              </w:rPr>
            </w:pPr>
          </w:p>
        </w:tc>
        <w:tc>
          <w:tcPr>
            <w:tcW w:w="42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18"/>
                <w:szCs w:val="18"/>
              </w:rPr>
            </w:pPr>
          </w:p>
        </w:tc>
        <w:tc>
          <w:tcPr>
            <w:tcW w:w="134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预算控制率</w:t>
            </w:r>
          </w:p>
        </w:tc>
        <w:tc>
          <w:tcPr>
            <w:tcW w:w="47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2977"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预算控制率=0，计5分；0-10%（含），计4分；10-20%（含），计3分；20-30%（含），计2分；大于30%不得分。</w:t>
            </w:r>
          </w:p>
        </w:tc>
        <w:tc>
          <w:tcPr>
            <w:tcW w:w="3176"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预算控制率=（本年追加预算/年初预算）×100%。</w:t>
            </w:r>
          </w:p>
        </w:tc>
        <w:tc>
          <w:tcPr>
            <w:tcW w:w="74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lang w:eastAsia="zh-CN"/>
              </w:rPr>
            </w:pPr>
            <w:r>
              <w:rPr>
                <w:rFonts w:hint="eastAsia" w:ascii="仿宋" w:hAnsi="仿宋" w:eastAsia="仿宋" w:cs="仿宋"/>
                <w:kern w:val="0"/>
                <w:sz w:val="18"/>
                <w:szCs w:val="18"/>
              </w:rPr>
              <w:t>　</w:t>
            </w:r>
            <w:r>
              <w:rPr>
                <w:rFonts w:hint="eastAsia" w:ascii="仿宋" w:hAnsi="仿宋" w:eastAsia="仿宋" w:cs="仿宋"/>
                <w:kern w:val="0"/>
                <w:sz w:val="18"/>
                <w:szCs w:val="18"/>
                <w:lang w:val="en-US" w:eastAsia="zh-CN"/>
              </w:rPr>
              <w:t>0</w:t>
            </w:r>
          </w:p>
        </w:tc>
      </w:tr>
      <w:tr>
        <w:tblPrEx>
          <w:tblCellMar>
            <w:top w:w="0" w:type="dxa"/>
            <w:left w:w="108" w:type="dxa"/>
            <w:bottom w:w="0" w:type="dxa"/>
            <w:right w:w="108" w:type="dxa"/>
          </w:tblCellMar>
        </w:tblPrEx>
        <w:trPr>
          <w:trHeight w:val="1325" w:hRule="atLeast"/>
          <w:jc w:val="center"/>
        </w:trPr>
        <w:tc>
          <w:tcPr>
            <w:tcW w:w="39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18"/>
                <w:szCs w:val="18"/>
              </w:rPr>
            </w:pPr>
          </w:p>
        </w:tc>
        <w:tc>
          <w:tcPr>
            <w:tcW w:w="46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18"/>
                <w:szCs w:val="18"/>
              </w:rPr>
            </w:pPr>
          </w:p>
        </w:tc>
        <w:tc>
          <w:tcPr>
            <w:tcW w:w="58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18"/>
                <w:szCs w:val="18"/>
              </w:rPr>
            </w:pPr>
          </w:p>
        </w:tc>
        <w:tc>
          <w:tcPr>
            <w:tcW w:w="42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18"/>
                <w:szCs w:val="18"/>
              </w:rPr>
            </w:pPr>
          </w:p>
        </w:tc>
        <w:tc>
          <w:tcPr>
            <w:tcW w:w="134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新建楼堂馆所面积控制率</w:t>
            </w:r>
          </w:p>
        </w:tc>
        <w:tc>
          <w:tcPr>
            <w:tcW w:w="47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2977"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100%以下（含）计满分，每超出5%扣2分，扣完为止。没有楼堂馆所项目的部门按满分计算。</w:t>
            </w:r>
          </w:p>
        </w:tc>
        <w:tc>
          <w:tcPr>
            <w:tcW w:w="3176"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楼堂馆所面积控制率=实际建设面积/批准建设面积×100% 。</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该指标以2017年完工的新建楼堂馆所为评价内容。</w:t>
            </w:r>
          </w:p>
        </w:tc>
        <w:tc>
          <w:tcPr>
            <w:tcW w:w="74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　5</w:t>
            </w:r>
          </w:p>
        </w:tc>
      </w:tr>
      <w:tr>
        <w:tblPrEx>
          <w:tblCellMar>
            <w:top w:w="0" w:type="dxa"/>
            <w:left w:w="108" w:type="dxa"/>
            <w:bottom w:w="0" w:type="dxa"/>
            <w:right w:w="108" w:type="dxa"/>
          </w:tblCellMar>
        </w:tblPrEx>
        <w:trPr>
          <w:trHeight w:val="1220" w:hRule="atLeast"/>
          <w:jc w:val="center"/>
        </w:trPr>
        <w:tc>
          <w:tcPr>
            <w:tcW w:w="39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18"/>
                <w:szCs w:val="18"/>
              </w:rPr>
            </w:pPr>
          </w:p>
        </w:tc>
        <w:tc>
          <w:tcPr>
            <w:tcW w:w="46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18"/>
                <w:szCs w:val="18"/>
              </w:rPr>
            </w:pPr>
          </w:p>
        </w:tc>
        <w:tc>
          <w:tcPr>
            <w:tcW w:w="58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18"/>
                <w:szCs w:val="18"/>
              </w:rPr>
            </w:pPr>
          </w:p>
        </w:tc>
        <w:tc>
          <w:tcPr>
            <w:tcW w:w="42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18"/>
                <w:szCs w:val="18"/>
              </w:rPr>
            </w:pPr>
          </w:p>
        </w:tc>
        <w:tc>
          <w:tcPr>
            <w:tcW w:w="134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新建楼堂馆所投资概算控制率</w:t>
            </w:r>
          </w:p>
        </w:tc>
        <w:tc>
          <w:tcPr>
            <w:tcW w:w="47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2977"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100%以下（含）计满分，每超出5%扣2分，扣完为止。</w:t>
            </w:r>
          </w:p>
        </w:tc>
        <w:tc>
          <w:tcPr>
            <w:tcW w:w="3176"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楼堂馆所投资预算控制率=实际投资金额/批准投资金额×100% 。</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该指标以2017年完工的新建楼堂馆所为评价内容。</w:t>
            </w:r>
          </w:p>
        </w:tc>
        <w:tc>
          <w:tcPr>
            <w:tcW w:w="74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　5</w:t>
            </w:r>
          </w:p>
        </w:tc>
      </w:tr>
      <w:tr>
        <w:tblPrEx>
          <w:tblCellMar>
            <w:top w:w="0" w:type="dxa"/>
            <w:left w:w="108" w:type="dxa"/>
            <w:bottom w:w="0" w:type="dxa"/>
            <w:right w:w="108" w:type="dxa"/>
          </w:tblCellMar>
        </w:tblPrEx>
        <w:trPr>
          <w:trHeight w:val="1562" w:hRule="atLeast"/>
          <w:jc w:val="center"/>
        </w:trPr>
        <w:tc>
          <w:tcPr>
            <w:tcW w:w="39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18"/>
                <w:szCs w:val="18"/>
              </w:rPr>
            </w:pPr>
          </w:p>
        </w:tc>
        <w:tc>
          <w:tcPr>
            <w:tcW w:w="46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18"/>
                <w:szCs w:val="18"/>
              </w:rPr>
            </w:pPr>
          </w:p>
        </w:tc>
        <w:tc>
          <w:tcPr>
            <w:tcW w:w="589"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预算管理</w:t>
            </w:r>
          </w:p>
        </w:tc>
        <w:tc>
          <w:tcPr>
            <w:tcW w:w="427"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40</w:t>
            </w:r>
          </w:p>
        </w:tc>
        <w:tc>
          <w:tcPr>
            <w:tcW w:w="134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公用经费控制率</w:t>
            </w:r>
          </w:p>
        </w:tc>
        <w:tc>
          <w:tcPr>
            <w:tcW w:w="47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8</w:t>
            </w:r>
          </w:p>
        </w:tc>
        <w:tc>
          <w:tcPr>
            <w:tcW w:w="2977"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100%以下（含）计满分，每超出1%扣1分，扣完为止。</w:t>
            </w:r>
          </w:p>
        </w:tc>
        <w:tc>
          <w:tcPr>
            <w:tcW w:w="3176"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公用经费控制率=（实际支出公用经费总额/预算安排公用经费总额）×100%。</w:t>
            </w:r>
            <w:r>
              <w:rPr>
                <w:rFonts w:hint="eastAsia" w:ascii="仿宋" w:hAnsi="仿宋" w:eastAsia="仿宋" w:cs="仿宋"/>
                <w:kern w:val="0"/>
                <w:sz w:val="18"/>
                <w:szCs w:val="18"/>
              </w:rPr>
              <w:br w:type="textWrapping"/>
            </w:r>
            <w:r>
              <w:rPr>
                <w:rFonts w:hint="eastAsia" w:ascii="仿宋" w:hAnsi="仿宋" w:eastAsia="仿宋" w:cs="仿宋"/>
                <w:kern w:val="0"/>
                <w:sz w:val="18"/>
                <w:szCs w:val="18"/>
              </w:rPr>
              <w:t>公用经费支出是指部门基本支出中的一般商品和服务支出。</w:t>
            </w:r>
          </w:p>
        </w:tc>
        <w:tc>
          <w:tcPr>
            <w:tcW w:w="74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lang w:eastAsia="zh-CN"/>
              </w:rPr>
            </w:pPr>
            <w:r>
              <w:rPr>
                <w:rFonts w:hint="eastAsia" w:ascii="仿宋" w:hAnsi="仿宋" w:eastAsia="仿宋" w:cs="仿宋"/>
                <w:kern w:val="0"/>
                <w:sz w:val="18"/>
                <w:szCs w:val="18"/>
              </w:rPr>
              <w:t>　</w:t>
            </w:r>
            <w:r>
              <w:rPr>
                <w:rFonts w:hint="eastAsia" w:ascii="仿宋" w:hAnsi="仿宋" w:eastAsia="仿宋" w:cs="仿宋"/>
                <w:kern w:val="0"/>
                <w:sz w:val="18"/>
                <w:szCs w:val="18"/>
                <w:lang w:val="en-US" w:eastAsia="zh-CN"/>
              </w:rPr>
              <w:t>5</w:t>
            </w:r>
          </w:p>
        </w:tc>
      </w:tr>
      <w:tr>
        <w:tblPrEx>
          <w:tblCellMar>
            <w:top w:w="0" w:type="dxa"/>
            <w:left w:w="108" w:type="dxa"/>
            <w:bottom w:w="0" w:type="dxa"/>
            <w:right w:w="108" w:type="dxa"/>
          </w:tblCellMar>
        </w:tblPrEx>
        <w:trPr>
          <w:trHeight w:val="1073" w:hRule="atLeast"/>
          <w:jc w:val="center"/>
        </w:trPr>
        <w:tc>
          <w:tcPr>
            <w:tcW w:w="39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18"/>
                <w:szCs w:val="18"/>
              </w:rPr>
            </w:pPr>
          </w:p>
        </w:tc>
        <w:tc>
          <w:tcPr>
            <w:tcW w:w="46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18"/>
                <w:szCs w:val="18"/>
              </w:rPr>
            </w:pPr>
          </w:p>
        </w:tc>
        <w:tc>
          <w:tcPr>
            <w:tcW w:w="58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18"/>
                <w:szCs w:val="18"/>
              </w:rPr>
            </w:pPr>
          </w:p>
        </w:tc>
        <w:tc>
          <w:tcPr>
            <w:tcW w:w="42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18"/>
                <w:szCs w:val="18"/>
              </w:rPr>
            </w:pPr>
          </w:p>
        </w:tc>
        <w:tc>
          <w:tcPr>
            <w:tcW w:w="134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“三公经费”控制率</w:t>
            </w:r>
          </w:p>
        </w:tc>
        <w:tc>
          <w:tcPr>
            <w:tcW w:w="47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7</w:t>
            </w:r>
          </w:p>
        </w:tc>
        <w:tc>
          <w:tcPr>
            <w:tcW w:w="2977"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100%以下（含）计满分，每超出1%扣1分，扣完为止。</w:t>
            </w:r>
          </w:p>
        </w:tc>
        <w:tc>
          <w:tcPr>
            <w:tcW w:w="3176"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“三公经费”控制率-（“三公经费”实际支出数/“三公经费”预算安排数）×100%。</w:t>
            </w:r>
          </w:p>
        </w:tc>
        <w:tc>
          <w:tcPr>
            <w:tcW w:w="74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　7</w:t>
            </w:r>
          </w:p>
        </w:tc>
      </w:tr>
      <w:tr>
        <w:tblPrEx>
          <w:tblCellMar>
            <w:top w:w="0" w:type="dxa"/>
            <w:left w:w="108" w:type="dxa"/>
            <w:bottom w:w="0" w:type="dxa"/>
            <w:right w:w="108" w:type="dxa"/>
          </w:tblCellMar>
        </w:tblPrEx>
        <w:trPr>
          <w:trHeight w:val="780"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p>
        </w:tc>
        <w:tc>
          <w:tcPr>
            <w:tcW w:w="46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p>
        </w:tc>
        <w:tc>
          <w:tcPr>
            <w:tcW w:w="58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18"/>
                <w:szCs w:val="18"/>
              </w:rPr>
            </w:pPr>
          </w:p>
        </w:tc>
        <w:tc>
          <w:tcPr>
            <w:tcW w:w="42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18"/>
                <w:szCs w:val="18"/>
              </w:rPr>
            </w:pPr>
          </w:p>
        </w:tc>
        <w:tc>
          <w:tcPr>
            <w:tcW w:w="134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政府采购执行率</w:t>
            </w:r>
          </w:p>
        </w:tc>
        <w:tc>
          <w:tcPr>
            <w:tcW w:w="47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6</w:t>
            </w:r>
          </w:p>
        </w:tc>
        <w:tc>
          <w:tcPr>
            <w:tcW w:w="2977"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100%计满分，每超过（降低）5%扣2分。扣完为止。</w:t>
            </w:r>
          </w:p>
        </w:tc>
        <w:tc>
          <w:tcPr>
            <w:tcW w:w="3176"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政府采购执行率=（实际政府采购金额/政府采购预算数）×100%</w:t>
            </w:r>
          </w:p>
        </w:tc>
        <w:tc>
          <w:tcPr>
            <w:tcW w:w="74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lang w:eastAsia="zh-CN"/>
              </w:rPr>
            </w:pPr>
            <w:r>
              <w:rPr>
                <w:rFonts w:hint="eastAsia" w:ascii="仿宋" w:hAnsi="仿宋" w:eastAsia="仿宋" w:cs="仿宋"/>
                <w:kern w:val="0"/>
                <w:sz w:val="18"/>
                <w:szCs w:val="18"/>
              </w:rPr>
              <w:t>　</w:t>
            </w:r>
            <w:r>
              <w:rPr>
                <w:rFonts w:hint="eastAsia" w:ascii="仿宋" w:hAnsi="仿宋" w:eastAsia="仿宋" w:cs="仿宋"/>
                <w:kern w:val="0"/>
                <w:sz w:val="18"/>
                <w:szCs w:val="18"/>
                <w:lang w:val="en-US" w:eastAsia="zh-CN"/>
              </w:rPr>
              <w:t>4</w:t>
            </w:r>
          </w:p>
        </w:tc>
      </w:tr>
      <w:tr>
        <w:tblPrEx>
          <w:tblCellMar>
            <w:top w:w="0" w:type="dxa"/>
            <w:left w:w="108" w:type="dxa"/>
            <w:bottom w:w="0" w:type="dxa"/>
            <w:right w:w="108" w:type="dxa"/>
          </w:tblCellMar>
        </w:tblPrEx>
        <w:trPr>
          <w:jc w:val="center"/>
        </w:trPr>
        <w:tc>
          <w:tcPr>
            <w:tcW w:w="396" w:type="dxa"/>
            <w:vMerge w:val="restart"/>
            <w:tcBorders>
              <w:top w:val="single" w:color="auto" w:sz="4" w:space="0"/>
              <w:left w:val="single" w:color="auto" w:sz="4" w:space="0"/>
              <w:bottom w:val="single" w:color="000000" w:sz="4" w:space="0"/>
              <w:right w:val="single" w:color="auto" w:sz="4" w:space="0"/>
            </w:tcBorders>
            <w:vAlign w:val="center"/>
          </w:tcPr>
          <w:p>
            <w:pPr>
              <w:jc w:val="left"/>
              <w:rPr>
                <w:rFonts w:hint="eastAsia" w:ascii="仿宋" w:hAnsi="仿宋" w:eastAsia="仿宋" w:cs="仿宋"/>
                <w:kern w:val="0"/>
                <w:sz w:val="18"/>
                <w:szCs w:val="18"/>
              </w:rPr>
            </w:pPr>
            <w:r>
              <w:rPr>
                <w:rFonts w:hint="eastAsia" w:ascii="仿宋" w:hAnsi="仿宋" w:eastAsia="仿宋" w:cs="仿宋"/>
                <w:kern w:val="0"/>
                <w:sz w:val="18"/>
                <w:szCs w:val="18"/>
              </w:rPr>
              <w:t>过                                                                                                                                       程</w:t>
            </w:r>
          </w:p>
        </w:tc>
        <w:tc>
          <w:tcPr>
            <w:tcW w:w="461" w:type="dxa"/>
            <w:vMerge w:val="restart"/>
            <w:tcBorders>
              <w:top w:val="single" w:color="auto" w:sz="4" w:space="0"/>
              <w:left w:val="single" w:color="auto" w:sz="4" w:space="0"/>
              <w:bottom w:val="single" w:color="000000" w:sz="4" w:space="0"/>
              <w:right w:val="single" w:color="auto" w:sz="4" w:space="0"/>
            </w:tcBorders>
            <w:vAlign w:val="center"/>
          </w:tcPr>
          <w:p>
            <w:pPr>
              <w:jc w:val="left"/>
              <w:rPr>
                <w:rFonts w:hint="eastAsia" w:ascii="仿宋" w:hAnsi="仿宋" w:eastAsia="仿宋" w:cs="仿宋"/>
                <w:kern w:val="0"/>
                <w:sz w:val="18"/>
                <w:szCs w:val="18"/>
              </w:rPr>
            </w:pPr>
          </w:p>
        </w:tc>
        <w:tc>
          <w:tcPr>
            <w:tcW w:w="589" w:type="dxa"/>
            <w:vMerge w:val="restart"/>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预算管理</w:t>
            </w:r>
          </w:p>
        </w:tc>
        <w:tc>
          <w:tcPr>
            <w:tcW w:w="42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18"/>
                <w:szCs w:val="18"/>
              </w:rPr>
            </w:pPr>
          </w:p>
        </w:tc>
        <w:tc>
          <w:tcPr>
            <w:tcW w:w="134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管理制度健全性</w:t>
            </w:r>
          </w:p>
        </w:tc>
        <w:tc>
          <w:tcPr>
            <w:tcW w:w="47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8</w:t>
            </w:r>
          </w:p>
        </w:tc>
        <w:tc>
          <w:tcPr>
            <w:tcW w:w="2977"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①有内部财务管理制度、会计核算制度等管理制度，2分；</w:t>
            </w:r>
            <w:r>
              <w:rPr>
                <w:rFonts w:hint="eastAsia" w:ascii="仿宋" w:hAnsi="仿宋" w:eastAsia="仿宋" w:cs="仿宋"/>
                <w:kern w:val="0"/>
                <w:sz w:val="18"/>
                <w:szCs w:val="18"/>
              </w:rPr>
              <w:br w:type="textWrapping"/>
            </w:r>
            <w:r>
              <w:rPr>
                <w:rFonts w:hint="eastAsia" w:ascii="仿宋" w:hAnsi="仿宋" w:eastAsia="仿宋" w:cs="仿宋"/>
                <w:kern w:val="0"/>
                <w:sz w:val="18"/>
                <w:szCs w:val="18"/>
              </w:rPr>
              <w:t>②有本部门厉行节约制度,2分；</w:t>
            </w:r>
            <w:r>
              <w:rPr>
                <w:rFonts w:hint="eastAsia" w:ascii="仿宋" w:hAnsi="仿宋" w:eastAsia="仿宋" w:cs="仿宋"/>
                <w:kern w:val="0"/>
                <w:sz w:val="18"/>
                <w:szCs w:val="18"/>
              </w:rPr>
              <w:br w:type="textWrapping"/>
            </w:r>
            <w:r>
              <w:rPr>
                <w:rFonts w:hint="eastAsia" w:ascii="仿宋" w:hAnsi="仿宋" w:eastAsia="仿宋" w:cs="仿宋"/>
                <w:kern w:val="0"/>
                <w:sz w:val="18"/>
                <w:szCs w:val="18"/>
              </w:rPr>
              <w:t>③相关管理制度合法、合规、完整，2分；④相关管理制度得到有效执行，2分。</w:t>
            </w:r>
          </w:p>
        </w:tc>
        <w:tc>
          <w:tcPr>
            <w:tcW w:w="3176"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74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　6</w:t>
            </w:r>
          </w:p>
        </w:tc>
      </w:tr>
      <w:tr>
        <w:tblPrEx>
          <w:tblCellMar>
            <w:top w:w="0" w:type="dxa"/>
            <w:left w:w="108" w:type="dxa"/>
            <w:bottom w:w="0" w:type="dxa"/>
            <w:right w:w="108" w:type="dxa"/>
          </w:tblCellMar>
        </w:tblPrEx>
        <w:trPr>
          <w:jc w:val="center"/>
        </w:trPr>
        <w:tc>
          <w:tcPr>
            <w:tcW w:w="39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18"/>
                <w:szCs w:val="18"/>
              </w:rPr>
            </w:pPr>
          </w:p>
        </w:tc>
        <w:tc>
          <w:tcPr>
            <w:tcW w:w="46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18"/>
                <w:szCs w:val="18"/>
              </w:rPr>
            </w:pPr>
          </w:p>
        </w:tc>
        <w:tc>
          <w:tcPr>
            <w:tcW w:w="589" w:type="dxa"/>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p>
        </w:tc>
        <w:tc>
          <w:tcPr>
            <w:tcW w:w="42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18"/>
                <w:szCs w:val="18"/>
              </w:rPr>
            </w:pPr>
          </w:p>
        </w:tc>
        <w:tc>
          <w:tcPr>
            <w:tcW w:w="134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资金使用合规性</w:t>
            </w:r>
          </w:p>
        </w:tc>
        <w:tc>
          <w:tcPr>
            <w:tcW w:w="47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6</w:t>
            </w:r>
          </w:p>
        </w:tc>
        <w:tc>
          <w:tcPr>
            <w:tcW w:w="2977"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hint="eastAsia" w:ascii="仿宋" w:hAnsi="仿宋" w:eastAsia="仿宋" w:cs="仿宋"/>
                <w:kern w:val="0"/>
                <w:sz w:val="18"/>
                <w:szCs w:val="18"/>
              </w:rPr>
              <w:br w:type="textWrapping"/>
            </w:r>
            <w:r>
              <w:rPr>
                <w:rFonts w:hint="eastAsia" w:ascii="仿宋" w:hAnsi="仿宋" w:eastAsia="仿宋" w:cs="仿宋"/>
                <w:kern w:val="0"/>
                <w:sz w:val="18"/>
                <w:szCs w:val="18"/>
              </w:rPr>
              <w:t>以上情况每出现一例不符合要求的扣1分，扣完为止。</w:t>
            </w:r>
          </w:p>
        </w:tc>
        <w:tc>
          <w:tcPr>
            <w:tcW w:w="3176"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74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　5</w:t>
            </w:r>
          </w:p>
        </w:tc>
      </w:tr>
      <w:tr>
        <w:tblPrEx>
          <w:tblCellMar>
            <w:top w:w="0" w:type="dxa"/>
            <w:left w:w="108" w:type="dxa"/>
            <w:bottom w:w="0" w:type="dxa"/>
            <w:right w:w="108" w:type="dxa"/>
          </w:tblCellMar>
        </w:tblPrEx>
        <w:trPr>
          <w:jc w:val="center"/>
        </w:trPr>
        <w:tc>
          <w:tcPr>
            <w:tcW w:w="39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18"/>
                <w:szCs w:val="18"/>
              </w:rPr>
            </w:pPr>
          </w:p>
        </w:tc>
        <w:tc>
          <w:tcPr>
            <w:tcW w:w="46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18"/>
                <w:szCs w:val="18"/>
              </w:rPr>
            </w:pPr>
          </w:p>
        </w:tc>
        <w:tc>
          <w:tcPr>
            <w:tcW w:w="589" w:type="dxa"/>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p>
        </w:tc>
        <w:tc>
          <w:tcPr>
            <w:tcW w:w="42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18"/>
                <w:szCs w:val="18"/>
              </w:rPr>
            </w:pPr>
          </w:p>
        </w:tc>
        <w:tc>
          <w:tcPr>
            <w:tcW w:w="134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预决算信息公开性</w:t>
            </w:r>
          </w:p>
        </w:tc>
        <w:tc>
          <w:tcPr>
            <w:tcW w:w="47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2977"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 xml:space="preserve">①按规定内容公开预决算信息，1分；②按规定时限公开预决算信息，1分；③基础数据信息和会计信息资料真实，1分；④基础数据信息和会计信息资料完整，1分；⑤基础数据信息和汇集信息资料准确，1分。  </w:t>
            </w:r>
          </w:p>
        </w:tc>
        <w:tc>
          <w:tcPr>
            <w:tcW w:w="3176"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预决算信息是指与部门预算、执行、决算、监督、绩效等管理相关的信息。</w:t>
            </w:r>
          </w:p>
        </w:tc>
        <w:tc>
          <w:tcPr>
            <w:tcW w:w="74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　5</w:t>
            </w:r>
          </w:p>
        </w:tc>
      </w:tr>
      <w:tr>
        <w:tblPrEx>
          <w:tblCellMar>
            <w:top w:w="0" w:type="dxa"/>
            <w:left w:w="108" w:type="dxa"/>
            <w:bottom w:w="0" w:type="dxa"/>
            <w:right w:w="108" w:type="dxa"/>
          </w:tblCellMar>
        </w:tblPrEx>
        <w:trPr>
          <w:jc w:val="center"/>
        </w:trPr>
        <w:tc>
          <w:tcPr>
            <w:tcW w:w="396"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产出及效率</w:t>
            </w:r>
          </w:p>
        </w:tc>
        <w:tc>
          <w:tcPr>
            <w:tcW w:w="461"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30</w:t>
            </w:r>
          </w:p>
        </w:tc>
        <w:tc>
          <w:tcPr>
            <w:tcW w:w="589"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职责履行</w:t>
            </w:r>
          </w:p>
        </w:tc>
        <w:tc>
          <w:tcPr>
            <w:tcW w:w="42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8</w:t>
            </w:r>
          </w:p>
        </w:tc>
        <w:tc>
          <w:tcPr>
            <w:tcW w:w="1348" w:type="dxa"/>
            <w:tcBorders>
              <w:top w:val="nil"/>
              <w:left w:val="nil"/>
              <w:bottom w:val="nil"/>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重点工作实际完成率</w:t>
            </w:r>
          </w:p>
        </w:tc>
        <w:tc>
          <w:tcPr>
            <w:tcW w:w="47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8</w:t>
            </w:r>
          </w:p>
        </w:tc>
        <w:tc>
          <w:tcPr>
            <w:tcW w:w="2977"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根据绩效办2017年对各部门为民办实事和部门重点工程与重点工作考核分数折算。</w:t>
            </w:r>
            <w:r>
              <w:rPr>
                <w:rFonts w:hint="eastAsia" w:ascii="仿宋" w:hAnsi="仿宋" w:eastAsia="仿宋" w:cs="仿宋"/>
                <w:kern w:val="0"/>
                <w:sz w:val="18"/>
                <w:szCs w:val="18"/>
              </w:rPr>
              <w:br w:type="textWrapping"/>
            </w:r>
            <w:r>
              <w:rPr>
                <w:rFonts w:hint="eastAsia" w:ascii="仿宋" w:hAnsi="仿宋" w:eastAsia="仿宋" w:cs="仿宋"/>
                <w:kern w:val="0"/>
                <w:sz w:val="18"/>
                <w:szCs w:val="18"/>
              </w:rPr>
              <w:t>该项得分=（绩效办对应部分考核得分/350）*8</w:t>
            </w:r>
          </w:p>
        </w:tc>
        <w:tc>
          <w:tcPr>
            <w:tcW w:w="3176"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74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　6</w:t>
            </w:r>
          </w:p>
        </w:tc>
      </w:tr>
      <w:tr>
        <w:tblPrEx>
          <w:tblCellMar>
            <w:top w:w="0" w:type="dxa"/>
            <w:left w:w="108" w:type="dxa"/>
            <w:bottom w:w="0" w:type="dxa"/>
            <w:right w:w="108" w:type="dxa"/>
          </w:tblCellMar>
        </w:tblPrEx>
        <w:trPr>
          <w:trHeight w:val="445" w:hRule="atLeast"/>
          <w:jc w:val="center"/>
        </w:trPr>
        <w:tc>
          <w:tcPr>
            <w:tcW w:w="39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18"/>
                <w:szCs w:val="18"/>
              </w:rPr>
            </w:pPr>
          </w:p>
        </w:tc>
        <w:tc>
          <w:tcPr>
            <w:tcW w:w="46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18"/>
                <w:szCs w:val="18"/>
              </w:rPr>
            </w:pPr>
          </w:p>
        </w:tc>
        <w:tc>
          <w:tcPr>
            <w:tcW w:w="589"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履职 效益</w:t>
            </w:r>
          </w:p>
        </w:tc>
        <w:tc>
          <w:tcPr>
            <w:tcW w:w="427"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w:t>
            </w:r>
          </w:p>
        </w:tc>
        <w:tc>
          <w:tcPr>
            <w:tcW w:w="134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经济效益</w:t>
            </w:r>
          </w:p>
        </w:tc>
        <w:tc>
          <w:tcPr>
            <w:tcW w:w="478" w:type="dxa"/>
            <w:vMerge w:val="restart"/>
            <w:tcBorders>
              <w:top w:val="nil"/>
              <w:left w:val="single" w:color="auto" w:sz="4" w:space="0"/>
              <w:bottom w:val="nil"/>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w:t>
            </w:r>
          </w:p>
        </w:tc>
        <w:tc>
          <w:tcPr>
            <w:tcW w:w="6153" w:type="dxa"/>
            <w:gridSpan w:val="2"/>
            <w:vMerge w:val="restart"/>
            <w:tcBorders>
              <w:top w:val="single" w:color="auto" w:sz="4" w:space="0"/>
              <w:left w:val="single" w:color="auto" w:sz="4" w:space="0"/>
              <w:bottom w:val="nil"/>
              <w:right w:val="single" w:color="000000"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此两项指标为设置部门整体支出绩效评价指标时必须考虑的共性要素，可根据部门实际情况有选择的进行设置，并将其细化为相应的个性化指标。</w:t>
            </w:r>
          </w:p>
        </w:tc>
        <w:tc>
          <w:tcPr>
            <w:tcW w:w="748" w:type="dxa"/>
            <w:tcBorders>
              <w:top w:val="nil"/>
              <w:left w:val="nil"/>
              <w:bottom w:val="nil"/>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　</w:t>
            </w:r>
          </w:p>
        </w:tc>
      </w:tr>
      <w:tr>
        <w:tblPrEx>
          <w:tblCellMar>
            <w:top w:w="0" w:type="dxa"/>
            <w:left w:w="108" w:type="dxa"/>
            <w:bottom w:w="0" w:type="dxa"/>
            <w:right w:w="108" w:type="dxa"/>
          </w:tblCellMar>
        </w:tblPrEx>
        <w:trPr>
          <w:trHeight w:val="238" w:hRule="atLeast"/>
          <w:jc w:val="center"/>
        </w:trPr>
        <w:tc>
          <w:tcPr>
            <w:tcW w:w="39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18"/>
                <w:szCs w:val="18"/>
              </w:rPr>
            </w:pPr>
          </w:p>
        </w:tc>
        <w:tc>
          <w:tcPr>
            <w:tcW w:w="46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18"/>
                <w:szCs w:val="18"/>
              </w:rPr>
            </w:pPr>
          </w:p>
        </w:tc>
        <w:tc>
          <w:tcPr>
            <w:tcW w:w="58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18"/>
                <w:szCs w:val="18"/>
              </w:rPr>
            </w:pPr>
          </w:p>
        </w:tc>
        <w:tc>
          <w:tcPr>
            <w:tcW w:w="42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18"/>
                <w:szCs w:val="18"/>
              </w:rPr>
            </w:pPr>
          </w:p>
        </w:tc>
        <w:tc>
          <w:tcPr>
            <w:tcW w:w="134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社会效益</w:t>
            </w:r>
          </w:p>
        </w:tc>
        <w:tc>
          <w:tcPr>
            <w:tcW w:w="478" w:type="dxa"/>
            <w:vMerge w:val="continue"/>
            <w:tcBorders>
              <w:top w:val="nil"/>
              <w:left w:val="single" w:color="auto" w:sz="4" w:space="0"/>
              <w:bottom w:val="nil"/>
              <w:right w:val="single" w:color="auto" w:sz="4" w:space="0"/>
            </w:tcBorders>
            <w:vAlign w:val="center"/>
          </w:tcPr>
          <w:p>
            <w:pPr>
              <w:widowControl/>
              <w:jc w:val="left"/>
              <w:rPr>
                <w:rFonts w:hint="eastAsia" w:ascii="仿宋" w:hAnsi="仿宋" w:eastAsia="仿宋" w:cs="仿宋"/>
                <w:kern w:val="0"/>
                <w:sz w:val="18"/>
                <w:szCs w:val="18"/>
              </w:rPr>
            </w:pPr>
          </w:p>
        </w:tc>
        <w:tc>
          <w:tcPr>
            <w:tcW w:w="6153"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hint="eastAsia" w:ascii="仿宋" w:hAnsi="仿宋" w:eastAsia="仿宋" w:cs="仿宋"/>
                <w:kern w:val="0"/>
                <w:sz w:val="18"/>
                <w:szCs w:val="18"/>
              </w:rPr>
            </w:pPr>
          </w:p>
        </w:tc>
        <w:tc>
          <w:tcPr>
            <w:tcW w:w="748" w:type="dxa"/>
            <w:tcBorders>
              <w:top w:val="nil"/>
              <w:left w:val="nil"/>
              <w:bottom w:val="nil"/>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　8</w:t>
            </w:r>
          </w:p>
        </w:tc>
      </w:tr>
      <w:tr>
        <w:tblPrEx>
          <w:tblCellMar>
            <w:top w:w="0" w:type="dxa"/>
            <w:left w:w="108" w:type="dxa"/>
            <w:bottom w:w="0" w:type="dxa"/>
            <w:right w:w="108" w:type="dxa"/>
          </w:tblCellMar>
        </w:tblPrEx>
        <w:trPr>
          <w:trHeight w:val="1330" w:hRule="atLeast"/>
          <w:jc w:val="center"/>
        </w:trPr>
        <w:tc>
          <w:tcPr>
            <w:tcW w:w="39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18"/>
                <w:szCs w:val="18"/>
              </w:rPr>
            </w:pPr>
          </w:p>
        </w:tc>
        <w:tc>
          <w:tcPr>
            <w:tcW w:w="46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18"/>
                <w:szCs w:val="18"/>
              </w:rPr>
            </w:pPr>
          </w:p>
        </w:tc>
        <w:tc>
          <w:tcPr>
            <w:tcW w:w="589"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 w:hAnsi="仿宋" w:eastAsia="仿宋" w:cs="仿宋"/>
                <w:kern w:val="0"/>
                <w:sz w:val="18"/>
                <w:szCs w:val="18"/>
              </w:rPr>
            </w:pPr>
          </w:p>
        </w:tc>
        <w:tc>
          <w:tcPr>
            <w:tcW w:w="427"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134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行政效能</w:t>
            </w:r>
          </w:p>
        </w:tc>
        <w:tc>
          <w:tcPr>
            <w:tcW w:w="47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6</w:t>
            </w:r>
          </w:p>
        </w:tc>
        <w:tc>
          <w:tcPr>
            <w:tcW w:w="2977"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促进部门改进文风会风，加强经费及资产管理，推动网上办事，提高行政效率，降低行政成本效果较好的计6分；一般3分；无效果或者效果不明显0分。</w:t>
            </w:r>
          </w:p>
        </w:tc>
        <w:tc>
          <w:tcPr>
            <w:tcW w:w="3176"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根据部门自评材料评定。</w:t>
            </w:r>
          </w:p>
        </w:tc>
        <w:tc>
          <w:tcPr>
            <w:tcW w:w="748"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　6</w:t>
            </w:r>
          </w:p>
        </w:tc>
      </w:tr>
      <w:tr>
        <w:tblPrEx>
          <w:tblCellMar>
            <w:top w:w="0" w:type="dxa"/>
            <w:left w:w="108" w:type="dxa"/>
            <w:bottom w:w="0" w:type="dxa"/>
            <w:right w:w="108" w:type="dxa"/>
          </w:tblCellMar>
        </w:tblPrEx>
        <w:trPr>
          <w:jc w:val="center"/>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p>
        </w:tc>
        <w:tc>
          <w:tcPr>
            <w:tcW w:w="46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p>
        </w:tc>
        <w:tc>
          <w:tcPr>
            <w:tcW w:w="58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p>
        </w:tc>
        <w:tc>
          <w:tcPr>
            <w:tcW w:w="42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p>
        </w:tc>
        <w:tc>
          <w:tcPr>
            <w:tcW w:w="134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社会公众或服务对象满意度</w:t>
            </w:r>
          </w:p>
        </w:tc>
        <w:tc>
          <w:tcPr>
            <w:tcW w:w="47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6</w:t>
            </w:r>
          </w:p>
        </w:tc>
        <w:tc>
          <w:tcPr>
            <w:tcW w:w="2977"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90%（含）以上计6分；</w:t>
            </w:r>
            <w:r>
              <w:rPr>
                <w:rFonts w:hint="eastAsia" w:ascii="仿宋" w:hAnsi="仿宋" w:eastAsia="仿宋" w:cs="仿宋"/>
                <w:kern w:val="0"/>
                <w:sz w:val="18"/>
                <w:szCs w:val="18"/>
              </w:rPr>
              <w:br w:type="textWrapping"/>
            </w:r>
            <w:r>
              <w:rPr>
                <w:rFonts w:hint="eastAsia" w:ascii="仿宋" w:hAnsi="仿宋" w:eastAsia="仿宋" w:cs="仿宋"/>
                <w:kern w:val="0"/>
                <w:sz w:val="18"/>
                <w:szCs w:val="18"/>
              </w:rPr>
              <w:t>80%（含）-90%，计4分；</w:t>
            </w:r>
            <w:r>
              <w:rPr>
                <w:rFonts w:hint="eastAsia" w:ascii="仿宋" w:hAnsi="仿宋" w:eastAsia="仿宋" w:cs="仿宋"/>
                <w:kern w:val="0"/>
                <w:sz w:val="18"/>
                <w:szCs w:val="18"/>
              </w:rPr>
              <w:br w:type="textWrapping"/>
            </w:r>
            <w:r>
              <w:rPr>
                <w:rFonts w:hint="eastAsia" w:ascii="仿宋" w:hAnsi="仿宋" w:eastAsia="仿宋" w:cs="仿宋"/>
                <w:kern w:val="0"/>
                <w:sz w:val="18"/>
                <w:szCs w:val="18"/>
              </w:rPr>
              <w:t>70%（含）-80%，计2分；</w:t>
            </w:r>
            <w:r>
              <w:rPr>
                <w:rFonts w:hint="eastAsia" w:ascii="仿宋" w:hAnsi="仿宋" w:eastAsia="仿宋" w:cs="仿宋"/>
                <w:kern w:val="0"/>
                <w:sz w:val="18"/>
                <w:szCs w:val="18"/>
              </w:rPr>
              <w:br w:type="textWrapping"/>
            </w:r>
            <w:r>
              <w:rPr>
                <w:rFonts w:hint="eastAsia" w:ascii="仿宋" w:hAnsi="仿宋" w:eastAsia="仿宋" w:cs="仿宋"/>
                <w:kern w:val="0"/>
                <w:sz w:val="18"/>
                <w:szCs w:val="18"/>
              </w:rPr>
              <w:t>低于70%计0分。</w:t>
            </w:r>
          </w:p>
        </w:tc>
        <w:tc>
          <w:tcPr>
            <w:tcW w:w="3176"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社会公众或服务对象是指部门（单位）履行职责而影响到的部门、群体或个人，一般采取社会调查的方式。</w:t>
            </w:r>
          </w:p>
        </w:tc>
        <w:tc>
          <w:tcPr>
            <w:tcW w:w="74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　6</w:t>
            </w:r>
          </w:p>
        </w:tc>
      </w:tr>
      <w:tr>
        <w:tblPrEx>
          <w:tblCellMar>
            <w:top w:w="0" w:type="dxa"/>
            <w:left w:w="108" w:type="dxa"/>
            <w:bottom w:w="0" w:type="dxa"/>
            <w:right w:w="108" w:type="dxa"/>
          </w:tblCellMar>
        </w:tblPrEx>
        <w:trPr>
          <w:trHeight w:val="575" w:hRule="atLeast"/>
          <w:jc w:val="center"/>
        </w:trPr>
        <w:tc>
          <w:tcPr>
            <w:tcW w:w="9852"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合计得分</w:t>
            </w:r>
          </w:p>
        </w:tc>
        <w:tc>
          <w:tcPr>
            <w:tcW w:w="74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 xml:space="preserve">  86</w:t>
            </w:r>
          </w:p>
        </w:tc>
      </w:tr>
    </w:tbl>
    <w:p>
      <w:pPr>
        <w:spacing w:line="600" w:lineRule="exact"/>
        <w:rPr>
          <w:rFonts w:hint="eastAsia" w:ascii="仿宋" w:hAnsi="仿宋" w:eastAsia="仿宋" w:cs="仿宋"/>
          <w:sz w:val="30"/>
          <w:szCs w:val="30"/>
        </w:rPr>
      </w:pPr>
      <w:r>
        <w:rPr>
          <w:rFonts w:hint="eastAsia" w:ascii="仿宋" w:hAnsi="仿宋" w:eastAsia="仿宋" w:cs="仿宋"/>
          <w:sz w:val="30"/>
          <w:szCs w:val="30"/>
        </w:rPr>
        <w:t>附件5：</w:t>
      </w:r>
    </w:p>
    <w:p>
      <w:pPr>
        <w:widowControl/>
        <w:ind w:left="91"/>
        <w:jc w:val="center"/>
        <w:rPr>
          <w:rFonts w:hint="eastAsia" w:ascii="黑体" w:hAnsi="黑体" w:eastAsia="黑体" w:cs="黑体"/>
          <w:kern w:val="0"/>
          <w:sz w:val="36"/>
          <w:szCs w:val="36"/>
        </w:rPr>
      </w:pPr>
      <w:r>
        <w:rPr>
          <w:rFonts w:hint="eastAsia" w:ascii="黑体" w:hAnsi="黑体" w:eastAsia="黑体" w:cs="黑体"/>
          <w:kern w:val="0"/>
          <w:sz w:val="36"/>
          <w:szCs w:val="36"/>
        </w:rPr>
        <w:t>2018年度部门整体支出绩效评价基础数据表</w:t>
      </w:r>
    </w:p>
    <w:p>
      <w:pPr>
        <w:widowControl/>
        <w:ind w:left="91"/>
        <w:jc w:val="center"/>
        <w:rPr>
          <w:rFonts w:hint="eastAsia" w:ascii="仿宋" w:hAnsi="仿宋" w:eastAsia="仿宋" w:cs="仿宋"/>
          <w:kern w:val="0"/>
          <w:sz w:val="24"/>
          <w:szCs w:val="24"/>
        </w:rPr>
      </w:pPr>
      <w:r>
        <w:rPr>
          <w:rFonts w:hint="eastAsia" w:ascii="仿宋" w:hAnsi="仿宋" w:eastAsia="仿宋" w:cs="仿宋"/>
          <w:kern w:val="0"/>
          <w:sz w:val="24"/>
          <w:szCs w:val="24"/>
        </w:rPr>
        <w:t>填报单位：冷水滩区</w:t>
      </w:r>
      <w:r>
        <w:rPr>
          <w:rFonts w:hint="eastAsia" w:ascii="仿宋" w:hAnsi="仿宋" w:eastAsia="仿宋" w:cs="仿宋"/>
          <w:kern w:val="0"/>
          <w:sz w:val="24"/>
          <w:szCs w:val="24"/>
          <w:lang w:eastAsia="zh-CN"/>
        </w:rPr>
        <w:t>交通运输局</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 xml:space="preserve">                        单位：万元</w:t>
      </w:r>
    </w:p>
    <w:tbl>
      <w:tblPr>
        <w:tblStyle w:val="5"/>
        <w:tblW w:w="9878" w:type="dxa"/>
        <w:jc w:val="center"/>
        <w:tblLayout w:type="fixed"/>
        <w:tblCellMar>
          <w:top w:w="0" w:type="dxa"/>
          <w:left w:w="108" w:type="dxa"/>
          <w:bottom w:w="0" w:type="dxa"/>
          <w:right w:w="108" w:type="dxa"/>
        </w:tblCellMar>
      </w:tblPr>
      <w:tblGrid>
        <w:gridCol w:w="3480"/>
        <w:gridCol w:w="936"/>
        <w:gridCol w:w="936"/>
        <w:gridCol w:w="987"/>
        <w:gridCol w:w="1217"/>
        <w:gridCol w:w="1187"/>
        <w:gridCol w:w="1135"/>
      </w:tblGrid>
      <w:tr>
        <w:tblPrEx>
          <w:tblCellMar>
            <w:top w:w="0" w:type="dxa"/>
            <w:left w:w="108" w:type="dxa"/>
            <w:bottom w:w="0" w:type="dxa"/>
            <w:right w:w="108" w:type="dxa"/>
          </w:tblCellMar>
        </w:tblPrEx>
        <w:trPr>
          <w:trHeight w:val="525" w:hRule="atLeast"/>
          <w:jc w:val="center"/>
        </w:trPr>
        <w:tc>
          <w:tcPr>
            <w:tcW w:w="34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财政供养人员情况</w:t>
            </w:r>
          </w:p>
        </w:tc>
        <w:tc>
          <w:tcPr>
            <w:tcW w:w="1872"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编制数</w:t>
            </w:r>
          </w:p>
        </w:tc>
        <w:tc>
          <w:tcPr>
            <w:tcW w:w="2204"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2018年实际在职</w:t>
            </w:r>
          </w:p>
          <w:p>
            <w:pPr>
              <w:widowControl/>
              <w:spacing w:line="28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人数</w:t>
            </w:r>
          </w:p>
        </w:tc>
        <w:tc>
          <w:tcPr>
            <w:tcW w:w="2322"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控制率</w:t>
            </w:r>
          </w:p>
        </w:tc>
      </w:tr>
      <w:tr>
        <w:tblPrEx>
          <w:tblCellMar>
            <w:top w:w="0" w:type="dxa"/>
            <w:left w:w="108" w:type="dxa"/>
            <w:bottom w:w="0" w:type="dxa"/>
            <w:right w:w="108" w:type="dxa"/>
          </w:tblCellMar>
        </w:tblPrEx>
        <w:trPr>
          <w:trHeight w:val="525" w:hRule="atLeast"/>
          <w:jc w:val="center"/>
        </w:trPr>
        <w:tc>
          <w:tcPr>
            <w:tcW w:w="34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4"/>
                <w:szCs w:val="24"/>
              </w:rPr>
            </w:pPr>
          </w:p>
        </w:tc>
        <w:tc>
          <w:tcPr>
            <w:tcW w:w="1872"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137</w:t>
            </w:r>
          </w:p>
        </w:tc>
        <w:tc>
          <w:tcPr>
            <w:tcW w:w="2204"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100</w:t>
            </w:r>
          </w:p>
        </w:tc>
        <w:tc>
          <w:tcPr>
            <w:tcW w:w="2322"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100%</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经费控制情况</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2017年决算数</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2018年预算数</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2018年决算数</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三公经费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16.96</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21.5</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21.25</w:t>
            </w:r>
          </w:p>
        </w:tc>
      </w:tr>
      <w:tr>
        <w:tblPrEx>
          <w:tblCellMar>
            <w:top w:w="0" w:type="dxa"/>
            <w:left w:w="108" w:type="dxa"/>
            <w:bottom w:w="0" w:type="dxa"/>
            <w:right w:w="108" w:type="dxa"/>
          </w:tblCellMar>
        </w:tblPrEx>
        <w:trPr>
          <w:trHeight w:val="39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1、公务用车购置和维护经费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7.21</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12.5</w:t>
            </w:r>
            <w:r>
              <w:rPr>
                <w:rFonts w:hint="eastAsia" w:ascii="仿宋" w:hAnsi="仿宋" w:eastAsia="仿宋" w:cs="仿宋"/>
                <w:kern w:val="0"/>
                <w:sz w:val="24"/>
                <w:szCs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12.44</w:t>
            </w: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其中：公车购置</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公车运行维护</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7.21</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12.5</w:t>
            </w:r>
            <w:r>
              <w:rPr>
                <w:rFonts w:hint="eastAsia" w:ascii="仿宋" w:hAnsi="仿宋" w:eastAsia="仿宋" w:cs="仿宋"/>
                <w:kern w:val="0"/>
                <w:sz w:val="24"/>
                <w:szCs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12.44</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2、出国经费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3、公务接待</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9.75</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9</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8.81</w:t>
            </w:r>
          </w:p>
        </w:tc>
      </w:tr>
      <w:tr>
        <w:tblPrEx>
          <w:tblCellMar>
            <w:top w:w="0" w:type="dxa"/>
            <w:left w:w="108" w:type="dxa"/>
            <w:bottom w:w="0" w:type="dxa"/>
            <w:right w:w="108" w:type="dxa"/>
          </w:tblCellMar>
        </w:tblPrEx>
        <w:trPr>
          <w:trHeight w:val="39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项目支出：</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2109.25</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1500</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2366.69</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1、业务工作专项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2109.25</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1500</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2366.69</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2、运行维护专项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公用经费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71.86</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52.5</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139.66</w:t>
            </w:r>
          </w:p>
        </w:tc>
      </w:tr>
      <w:tr>
        <w:tblPrEx>
          <w:tblCellMar>
            <w:top w:w="0" w:type="dxa"/>
            <w:left w:w="108" w:type="dxa"/>
            <w:bottom w:w="0" w:type="dxa"/>
            <w:right w:w="108" w:type="dxa"/>
          </w:tblCellMar>
        </w:tblPrEx>
        <w:trPr>
          <w:trHeight w:val="39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其中：办公经费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23.99</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14</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45.06</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水费、电费、差旅费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11.45</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15.2</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12.03</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会议费、培训费</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2.48</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2.3</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both"/>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       1.23</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政府采购金额</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44.25</w:t>
            </w:r>
            <w:r>
              <w:rPr>
                <w:rFonts w:hint="eastAsia" w:ascii="仿宋" w:hAnsi="仿宋" w:eastAsia="仿宋" w:cs="仿宋"/>
                <w:kern w:val="0"/>
                <w:sz w:val="24"/>
                <w:szCs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29.95</w:t>
            </w: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37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部门整体支出预算调整 </w:t>
            </w:r>
          </w:p>
        </w:tc>
        <w:tc>
          <w:tcPr>
            <w:tcW w:w="187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2204"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1063.636</w:t>
            </w:r>
            <w:r>
              <w:rPr>
                <w:rFonts w:hint="eastAsia" w:ascii="仿宋" w:hAnsi="仿宋" w:eastAsia="仿宋" w:cs="仿宋"/>
                <w:kern w:val="0"/>
                <w:sz w:val="24"/>
                <w:szCs w:val="24"/>
              </w:rPr>
              <w:t>　</w:t>
            </w:r>
          </w:p>
        </w:tc>
        <w:tc>
          <w:tcPr>
            <w:tcW w:w="2322" w:type="dxa"/>
            <w:gridSpan w:val="2"/>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3523.2006</w:t>
            </w: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856" w:hRule="atLeast"/>
          <w:jc w:val="center"/>
        </w:trPr>
        <w:tc>
          <w:tcPr>
            <w:tcW w:w="3480"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楼堂馆所控制情况</w:t>
            </w:r>
          </w:p>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（2018年完工项目）</w:t>
            </w:r>
          </w:p>
        </w:tc>
        <w:tc>
          <w:tcPr>
            <w:tcW w:w="936"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批复</w:t>
            </w:r>
          </w:p>
          <w:p>
            <w:pPr>
              <w:widowControl/>
              <w:spacing w:line="28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规模</w:t>
            </w:r>
          </w:p>
          <w:p>
            <w:pPr>
              <w:widowControl/>
              <w:spacing w:line="28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w:t>
            </w:r>
          </w:p>
        </w:tc>
        <w:tc>
          <w:tcPr>
            <w:tcW w:w="936"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实际</w:t>
            </w:r>
          </w:p>
          <w:p>
            <w:pPr>
              <w:widowControl/>
              <w:spacing w:line="28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规模</w:t>
            </w:r>
          </w:p>
          <w:p>
            <w:pPr>
              <w:widowControl/>
              <w:spacing w:line="28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w:t>
            </w:r>
          </w:p>
        </w:tc>
        <w:tc>
          <w:tcPr>
            <w:tcW w:w="987"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规  模</w:t>
            </w:r>
          </w:p>
          <w:p>
            <w:pPr>
              <w:widowControl/>
              <w:spacing w:line="28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控制率</w:t>
            </w:r>
          </w:p>
        </w:tc>
        <w:tc>
          <w:tcPr>
            <w:tcW w:w="1217"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预算投资</w:t>
            </w:r>
          </w:p>
          <w:p>
            <w:pPr>
              <w:widowControl/>
              <w:spacing w:line="28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（万元）</w:t>
            </w:r>
          </w:p>
        </w:tc>
        <w:tc>
          <w:tcPr>
            <w:tcW w:w="1187"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实际投资</w:t>
            </w:r>
          </w:p>
          <w:p>
            <w:pPr>
              <w:widowControl/>
              <w:spacing w:line="28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（万元）</w:t>
            </w:r>
          </w:p>
        </w:tc>
        <w:tc>
          <w:tcPr>
            <w:tcW w:w="1135"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s="仿宋"/>
                <w:bCs/>
                <w:spacing w:val="-6"/>
                <w:kern w:val="0"/>
                <w:sz w:val="24"/>
                <w:szCs w:val="24"/>
              </w:rPr>
            </w:pPr>
            <w:r>
              <w:rPr>
                <w:rFonts w:hint="eastAsia" w:ascii="仿宋" w:hAnsi="仿宋" w:eastAsia="仿宋" w:cs="仿宋"/>
                <w:bCs/>
                <w:spacing w:val="-6"/>
                <w:kern w:val="0"/>
                <w:sz w:val="24"/>
                <w:szCs w:val="24"/>
              </w:rPr>
              <w:t>投资概算控制率</w:t>
            </w:r>
          </w:p>
        </w:tc>
      </w:tr>
      <w:tr>
        <w:tblPrEx>
          <w:tblCellMar>
            <w:top w:w="0" w:type="dxa"/>
            <w:left w:w="108" w:type="dxa"/>
            <w:bottom w:w="0" w:type="dxa"/>
            <w:right w:w="108" w:type="dxa"/>
          </w:tblCellMar>
        </w:tblPrEx>
        <w:trPr>
          <w:trHeight w:val="678" w:hRule="atLeast"/>
          <w:jc w:val="center"/>
        </w:trPr>
        <w:tc>
          <w:tcPr>
            <w:tcW w:w="34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4"/>
                <w:szCs w:val="24"/>
              </w:rPr>
            </w:pPr>
          </w:p>
        </w:tc>
        <w:tc>
          <w:tcPr>
            <w:tcW w:w="936" w:type="dxa"/>
            <w:tcBorders>
              <w:top w:val="nil"/>
              <w:left w:val="nil"/>
              <w:bottom w:val="single" w:color="auto" w:sz="4" w:space="0"/>
              <w:right w:val="single" w:color="auto" w:sz="4" w:space="0"/>
            </w:tcBorders>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936" w:type="dxa"/>
            <w:tcBorders>
              <w:top w:val="nil"/>
              <w:left w:val="nil"/>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987" w:type="dxa"/>
            <w:tcBorders>
              <w:top w:val="nil"/>
              <w:left w:val="nil"/>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217" w:type="dxa"/>
            <w:tcBorders>
              <w:top w:val="nil"/>
              <w:left w:val="nil"/>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187" w:type="dxa"/>
            <w:tcBorders>
              <w:top w:val="nil"/>
              <w:left w:val="nil"/>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135" w:type="dxa"/>
            <w:tcBorders>
              <w:top w:val="nil"/>
              <w:left w:val="nil"/>
              <w:bottom w:val="single" w:color="auto" w:sz="4" w:space="0"/>
              <w:right w:val="single" w:color="auto" w:sz="4" w:space="0"/>
            </w:tcBorders>
            <w:vAlign w:val="center"/>
          </w:tcPr>
          <w:p>
            <w:pPr>
              <w:widowControl/>
              <w:spacing w:line="28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651" w:hRule="atLeast"/>
          <w:jc w:val="center"/>
        </w:trPr>
        <w:tc>
          <w:tcPr>
            <w:tcW w:w="34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厉行节约保障措施</w:t>
            </w:r>
          </w:p>
        </w:tc>
        <w:tc>
          <w:tcPr>
            <w:tcW w:w="6398" w:type="dxa"/>
            <w:gridSpan w:val="6"/>
            <w:tcBorders>
              <w:top w:val="single" w:color="auto" w:sz="4" w:space="0"/>
              <w:left w:val="nil"/>
              <w:bottom w:val="single" w:color="auto" w:sz="4" w:space="0"/>
              <w:right w:val="single" w:color="000000" w:sz="4" w:space="0"/>
            </w:tcBorders>
            <w:vAlign w:val="center"/>
          </w:tcPr>
          <w:p>
            <w:pPr>
              <w:widowControl/>
              <w:spacing w:line="28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　严格按照财政制度和纪委规定，严格控制三公经费。办公费等日常公用经费。</w:t>
            </w:r>
          </w:p>
        </w:tc>
      </w:tr>
      <w:tr>
        <w:tblPrEx>
          <w:tblCellMar>
            <w:top w:w="0" w:type="dxa"/>
            <w:left w:w="108" w:type="dxa"/>
            <w:bottom w:w="0" w:type="dxa"/>
            <w:right w:w="108" w:type="dxa"/>
          </w:tblCellMar>
        </w:tblPrEx>
        <w:trPr>
          <w:trHeight w:val="700" w:hRule="atLeast"/>
          <w:jc w:val="center"/>
        </w:trPr>
        <w:tc>
          <w:tcPr>
            <w:tcW w:w="9878" w:type="dxa"/>
            <w:gridSpan w:val="7"/>
            <w:tcBorders>
              <w:top w:val="single" w:color="auto" w:sz="4" w:space="0"/>
              <w:left w:val="nil"/>
              <w:bottom w:val="nil"/>
              <w:right w:val="nil"/>
            </w:tcBorders>
            <w:vAlign w:val="center"/>
          </w:tcPr>
          <w:p>
            <w:pPr>
              <w:widowControl/>
              <w:spacing w:line="340" w:lineRule="exact"/>
              <w:ind w:left="653" w:hanging="712" w:hangingChars="297"/>
              <w:jc w:val="left"/>
              <w:rPr>
                <w:rFonts w:hint="eastAsia" w:ascii="仿宋" w:hAnsi="仿宋" w:eastAsia="仿宋" w:cs="仿宋"/>
                <w:kern w:val="0"/>
                <w:sz w:val="24"/>
                <w:szCs w:val="24"/>
              </w:rPr>
            </w:pPr>
            <w:r>
              <w:rPr>
                <w:rFonts w:hint="eastAsia" w:ascii="仿宋" w:hAnsi="仿宋" w:eastAsia="仿宋" w:cs="仿宋"/>
                <w:kern w:val="0"/>
                <w:sz w:val="24"/>
                <w:szCs w:val="24"/>
              </w:rPr>
              <w:t>说明：“项目支出”需要填报除专项资金和基本支出以外的所有项目情况，包括业务工作项目、运行维护项目等；“公用经费”填报基本支出中的一般商品和服务支出。</w:t>
            </w:r>
          </w:p>
        </w:tc>
      </w:tr>
    </w:tbl>
    <w:p>
      <w:pPr>
        <w:spacing w:line="620" w:lineRule="exact"/>
        <w:jc w:val="right"/>
        <w:rPr>
          <w:rFonts w:hint="eastAsia" w:ascii="仿宋" w:hAnsi="仿宋" w:eastAsia="仿宋" w:cs="仿宋"/>
          <w:sz w:val="30"/>
          <w:szCs w:val="30"/>
        </w:rPr>
      </w:pPr>
    </w:p>
    <w:sectPr>
      <w:headerReference r:id="rId5" w:type="first"/>
      <w:footerReference r:id="rId8" w:type="first"/>
      <w:headerReference r:id="rId3" w:type="default"/>
      <w:footerReference r:id="rId6" w:type="default"/>
      <w:headerReference r:id="rId4" w:type="even"/>
      <w:footerReference r:id="rId7" w:type="even"/>
      <w:pgSz w:w="11850" w:h="16783"/>
      <w:pgMar w:top="1327" w:right="1650" w:bottom="1100" w:left="1800" w:header="0" w:footer="0"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fldChar w:fldCharType="begin"/>
                          </w:r>
                          <w:r>
                            <w:instrText xml:space="preserve"> PAGE  \* MERGEFORMAT </w:instrText>
                          </w:r>
                          <w:r>
                            <w:fldChar w:fldCharType="separate"/>
                          </w:r>
                          <w:r>
                            <w:rPr>
                              <w:sz w:val="18"/>
                            </w:rPr>
                            <w:t>17</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17</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03EBE"/>
    <w:multiLevelType w:val="singleLevel"/>
    <w:tmpl w:val="87903EB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9"/>
  <w:displayVertic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5NDQ5YzE4NmE2NzRiYThkNmYzMmUwNWNmMWI4MGYifQ=="/>
  </w:docVars>
  <w:rsids>
    <w:rsidRoot w:val="785137E4"/>
    <w:rsid w:val="00020F4B"/>
    <w:rsid w:val="000334CC"/>
    <w:rsid w:val="001032C5"/>
    <w:rsid w:val="00190ABE"/>
    <w:rsid w:val="002274BC"/>
    <w:rsid w:val="00246E64"/>
    <w:rsid w:val="002C488B"/>
    <w:rsid w:val="002F6396"/>
    <w:rsid w:val="0032006F"/>
    <w:rsid w:val="00331EDF"/>
    <w:rsid w:val="003E24DD"/>
    <w:rsid w:val="00443E67"/>
    <w:rsid w:val="0047797C"/>
    <w:rsid w:val="00495A04"/>
    <w:rsid w:val="004B3E04"/>
    <w:rsid w:val="004C07A4"/>
    <w:rsid w:val="004D00CF"/>
    <w:rsid w:val="004F5109"/>
    <w:rsid w:val="00501B51"/>
    <w:rsid w:val="00570839"/>
    <w:rsid w:val="005E468E"/>
    <w:rsid w:val="005F7E7F"/>
    <w:rsid w:val="00605936"/>
    <w:rsid w:val="00612026"/>
    <w:rsid w:val="00621FEF"/>
    <w:rsid w:val="006A3C37"/>
    <w:rsid w:val="006A7D8E"/>
    <w:rsid w:val="006F15B5"/>
    <w:rsid w:val="006F46F7"/>
    <w:rsid w:val="007D5B41"/>
    <w:rsid w:val="007E3010"/>
    <w:rsid w:val="008F5953"/>
    <w:rsid w:val="00930568"/>
    <w:rsid w:val="009C374C"/>
    <w:rsid w:val="009D4482"/>
    <w:rsid w:val="00A106DA"/>
    <w:rsid w:val="00A147E6"/>
    <w:rsid w:val="00A71872"/>
    <w:rsid w:val="00A736E6"/>
    <w:rsid w:val="00A77DDE"/>
    <w:rsid w:val="00A90A1E"/>
    <w:rsid w:val="00B463EC"/>
    <w:rsid w:val="00B812FE"/>
    <w:rsid w:val="00BD2F3F"/>
    <w:rsid w:val="00BE0E99"/>
    <w:rsid w:val="00C50297"/>
    <w:rsid w:val="00C8652F"/>
    <w:rsid w:val="00D02271"/>
    <w:rsid w:val="00D37E24"/>
    <w:rsid w:val="00D61308"/>
    <w:rsid w:val="00D72963"/>
    <w:rsid w:val="00D86945"/>
    <w:rsid w:val="00DD761F"/>
    <w:rsid w:val="00E410D0"/>
    <w:rsid w:val="00E579AB"/>
    <w:rsid w:val="00F616D5"/>
    <w:rsid w:val="01540DA8"/>
    <w:rsid w:val="021D14ED"/>
    <w:rsid w:val="02927895"/>
    <w:rsid w:val="03AE7CEF"/>
    <w:rsid w:val="051D30EA"/>
    <w:rsid w:val="07CE4C09"/>
    <w:rsid w:val="087A1C39"/>
    <w:rsid w:val="0968228C"/>
    <w:rsid w:val="09C31645"/>
    <w:rsid w:val="0A193011"/>
    <w:rsid w:val="0A44392F"/>
    <w:rsid w:val="0B0727F9"/>
    <w:rsid w:val="0C1D6C41"/>
    <w:rsid w:val="0C5078D5"/>
    <w:rsid w:val="0D3419B4"/>
    <w:rsid w:val="104A59B1"/>
    <w:rsid w:val="108A2FEB"/>
    <w:rsid w:val="114C59C8"/>
    <w:rsid w:val="115B2DE0"/>
    <w:rsid w:val="12426120"/>
    <w:rsid w:val="12950A7E"/>
    <w:rsid w:val="14A8424C"/>
    <w:rsid w:val="15581B10"/>
    <w:rsid w:val="170A25B9"/>
    <w:rsid w:val="17E31494"/>
    <w:rsid w:val="17F71488"/>
    <w:rsid w:val="1A204BC7"/>
    <w:rsid w:val="1A304F0B"/>
    <w:rsid w:val="1AB96DF9"/>
    <w:rsid w:val="1CEB1643"/>
    <w:rsid w:val="1D5132B3"/>
    <w:rsid w:val="1D6B0BB6"/>
    <w:rsid w:val="22D740B8"/>
    <w:rsid w:val="22E90356"/>
    <w:rsid w:val="23943EF5"/>
    <w:rsid w:val="240B63D5"/>
    <w:rsid w:val="251C142D"/>
    <w:rsid w:val="258018C0"/>
    <w:rsid w:val="25B504BB"/>
    <w:rsid w:val="25F00E38"/>
    <w:rsid w:val="2659509A"/>
    <w:rsid w:val="26B11A3A"/>
    <w:rsid w:val="2842405B"/>
    <w:rsid w:val="29EC32BE"/>
    <w:rsid w:val="2E3511A9"/>
    <w:rsid w:val="2FE12B30"/>
    <w:rsid w:val="305C5A2D"/>
    <w:rsid w:val="30BD53C2"/>
    <w:rsid w:val="352670DE"/>
    <w:rsid w:val="35301275"/>
    <w:rsid w:val="357B7AED"/>
    <w:rsid w:val="36F764EF"/>
    <w:rsid w:val="374E666C"/>
    <w:rsid w:val="3788504C"/>
    <w:rsid w:val="37EB5A18"/>
    <w:rsid w:val="385B3896"/>
    <w:rsid w:val="3AAB44BD"/>
    <w:rsid w:val="3B900107"/>
    <w:rsid w:val="3BE06DF3"/>
    <w:rsid w:val="3D0F48FB"/>
    <w:rsid w:val="3DA14249"/>
    <w:rsid w:val="3DC46684"/>
    <w:rsid w:val="3E2B5AE2"/>
    <w:rsid w:val="3E493596"/>
    <w:rsid w:val="3F880CCF"/>
    <w:rsid w:val="402A3780"/>
    <w:rsid w:val="404F0CAC"/>
    <w:rsid w:val="418B0C90"/>
    <w:rsid w:val="41BE585D"/>
    <w:rsid w:val="433B1073"/>
    <w:rsid w:val="44966123"/>
    <w:rsid w:val="449B6323"/>
    <w:rsid w:val="45057884"/>
    <w:rsid w:val="459B564D"/>
    <w:rsid w:val="47EF4E6A"/>
    <w:rsid w:val="48035DFE"/>
    <w:rsid w:val="4857286E"/>
    <w:rsid w:val="499E19C1"/>
    <w:rsid w:val="4A820533"/>
    <w:rsid w:val="4B156B46"/>
    <w:rsid w:val="4B7F71D1"/>
    <w:rsid w:val="4CF657D3"/>
    <w:rsid w:val="4E1F59D2"/>
    <w:rsid w:val="4E585FDB"/>
    <w:rsid w:val="4F564F38"/>
    <w:rsid w:val="4FD9609F"/>
    <w:rsid w:val="50EF391A"/>
    <w:rsid w:val="514D2BD3"/>
    <w:rsid w:val="51524FCA"/>
    <w:rsid w:val="51860AEF"/>
    <w:rsid w:val="53A73ADE"/>
    <w:rsid w:val="53F605A7"/>
    <w:rsid w:val="54040CEA"/>
    <w:rsid w:val="54316861"/>
    <w:rsid w:val="54D7618A"/>
    <w:rsid w:val="54FF0268"/>
    <w:rsid w:val="5554545B"/>
    <w:rsid w:val="566468C9"/>
    <w:rsid w:val="56A30136"/>
    <w:rsid w:val="58231176"/>
    <w:rsid w:val="589D2CCD"/>
    <w:rsid w:val="595F096B"/>
    <w:rsid w:val="59793404"/>
    <w:rsid w:val="59D722C0"/>
    <w:rsid w:val="5A0544DB"/>
    <w:rsid w:val="5AE64F25"/>
    <w:rsid w:val="5C531035"/>
    <w:rsid w:val="5D981B23"/>
    <w:rsid w:val="5E174F66"/>
    <w:rsid w:val="5F942D12"/>
    <w:rsid w:val="61D11CA2"/>
    <w:rsid w:val="620C7F2C"/>
    <w:rsid w:val="63FD4981"/>
    <w:rsid w:val="64BC353F"/>
    <w:rsid w:val="6524032D"/>
    <w:rsid w:val="668F4233"/>
    <w:rsid w:val="68532135"/>
    <w:rsid w:val="68C32CA2"/>
    <w:rsid w:val="6B187AD2"/>
    <w:rsid w:val="6D03067C"/>
    <w:rsid w:val="6D1F6202"/>
    <w:rsid w:val="6D535020"/>
    <w:rsid w:val="6DC31AA8"/>
    <w:rsid w:val="6DF36BBE"/>
    <w:rsid w:val="6F816AC5"/>
    <w:rsid w:val="6FEC6C62"/>
    <w:rsid w:val="70207078"/>
    <w:rsid w:val="707950E0"/>
    <w:rsid w:val="70A55C94"/>
    <w:rsid w:val="70D365D2"/>
    <w:rsid w:val="71AE7FEB"/>
    <w:rsid w:val="71F0545F"/>
    <w:rsid w:val="72606A84"/>
    <w:rsid w:val="73C23E03"/>
    <w:rsid w:val="75871E6E"/>
    <w:rsid w:val="75940776"/>
    <w:rsid w:val="75AB21CA"/>
    <w:rsid w:val="75C076F3"/>
    <w:rsid w:val="76EF53C7"/>
    <w:rsid w:val="76FE68C1"/>
    <w:rsid w:val="776C2435"/>
    <w:rsid w:val="7777743F"/>
    <w:rsid w:val="785137E4"/>
    <w:rsid w:val="79274980"/>
    <w:rsid w:val="7B2E4CBA"/>
    <w:rsid w:val="7DBF52F8"/>
    <w:rsid w:val="7F362DFE"/>
    <w:rsid w:val="7F9D6EB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qFormat/>
    <w:uiPriority w:val="99"/>
    <w:pPr>
      <w:spacing w:beforeAutospacing="1" w:afterAutospacing="1"/>
      <w:jc w:val="left"/>
    </w:pPr>
    <w:rPr>
      <w:kern w:val="0"/>
      <w:sz w:val="24"/>
      <w:szCs w:val="24"/>
    </w:rPr>
  </w:style>
  <w:style w:type="table" w:styleId="6">
    <w:name w:val="Table Grid"/>
    <w:basedOn w:val="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99"/>
    <w:rPr>
      <w:rFonts w:cs="Times New Roman"/>
      <w:color w:val="0000FF"/>
      <w:u w:val="single"/>
    </w:rPr>
  </w:style>
  <w:style w:type="character" w:customStyle="1" w:styleId="9">
    <w:name w:val="Footer Char"/>
    <w:basedOn w:val="7"/>
    <w:link w:val="2"/>
    <w:semiHidden/>
    <w:qFormat/>
    <w:locked/>
    <w:uiPriority w:val="99"/>
    <w:rPr>
      <w:rFonts w:ascii="Calibri" w:hAnsi="Calibri" w:eastAsia="宋体" w:cs="Calibri"/>
      <w:sz w:val="18"/>
      <w:szCs w:val="18"/>
    </w:rPr>
  </w:style>
  <w:style w:type="character" w:customStyle="1" w:styleId="10">
    <w:name w:val="Header Char"/>
    <w:basedOn w:val="7"/>
    <w:link w:val="3"/>
    <w:semiHidden/>
    <w:qFormat/>
    <w:locked/>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10</Pages>
  <Words>5206</Words>
  <Characters>5754</Characters>
  <Lines>0</Lines>
  <Paragraphs>0</Paragraphs>
  <TotalTime>149</TotalTime>
  <ScaleCrop>false</ScaleCrop>
  <LinksUpToDate>false</LinksUpToDate>
  <CharactersWithSpaces>6192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2019-02-25T08:36:00Z</dcterms:created>
  <dc:creator>Administrator</dc:creator>
  <cp:lastModifiedBy>O</cp:lastModifiedBy>
  <cp:lastPrinted>2019-03-18T07:35:00Z</cp:lastPrinted>
  <dcterms:modified xsi:type="dcterms:W3CDTF">2024-06-18T08:24:43Z</dcterms:modified>
  <dc:title>永州市冷水滩区财政局文件</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EDBFC8227E3847039A2F1967DB46181A_13</vt:lpwstr>
  </property>
</Properties>
</file>