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F4" w:rsidRDefault="00DD48F4">
      <w:pPr>
        <w:jc w:val="center"/>
        <w:rPr>
          <w:rFonts w:eastAsia="方正小标宋简体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冷水滩区蔬菜局</w:t>
      </w:r>
      <w:r>
        <w:rPr>
          <w:rFonts w:ascii="方正小标宋简体" w:eastAsia="方正小标宋简体"/>
          <w:color w:val="000000"/>
          <w:sz w:val="36"/>
          <w:szCs w:val="36"/>
        </w:rPr>
        <w:t>2018</w:t>
      </w:r>
      <w:r>
        <w:rPr>
          <w:rFonts w:eastAsia="方正小标宋简体" w:hint="eastAsia"/>
          <w:sz w:val="36"/>
          <w:szCs w:val="36"/>
        </w:rPr>
        <w:t>年度部门整体支出绩效</w:t>
      </w:r>
    </w:p>
    <w:p w:rsidR="00DD48F4" w:rsidRDefault="00DD48F4">
      <w:pPr>
        <w:jc w:val="center"/>
        <w:rPr>
          <w:rFonts w:ascii="宋体"/>
          <w:b/>
          <w:sz w:val="30"/>
          <w:szCs w:val="30"/>
        </w:rPr>
      </w:pPr>
      <w:r>
        <w:rPr>
          <w:rFonts w:eastAsia="方正小标宋简体" w:hint="eastAsia"/>
          <w:sz w:val="36"/>
          <w:szCs w:val="36"/>
        </w:rPr>
        <w:t>自评报告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一、部门概况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 w:hint="eastAsia"/>
          <w:color w:val="000000"/>
          <w:sz w:val="30"/>
          <w:szCs w:val="30"/>
        </w:rPr>
        <w:t>（</w:t>
      </w:r>
      <w:r>
        <w:rPr>
          <w:rFonts w:ascii="宋体" w:hAnsi="宋体" w:cs="宋体" w:hint="eastAsia"/>
          <w:sz w:val="32"/>
          <w:szCs w:val="32"/>
        </w:rPr>
        <w:t>一）贯彻执行上级有关蔬菜产销工作的方针、政策，制订全区蔬菜产业发展规划。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（二）负责全区城镇蔬菜基地的规划、建设、保持和管理工作，依法维护消费者和生产者的合法权益。组织落实区委、区政府和上级主管部门关于发展蔬菜产业，搞好市场供应，增加菜农收入的有关政策。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（三）负责蔬菜基地蔬菜农药残留抽检，协调处理蔬菜产销工作中各环节矛盾。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（四）负责蔬菜新品种、新技术、新农资的引进、试验示范，推广工作。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（五）负责蔬菜产前、产中、产后服务工作。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（六）负责蔬菜有关数据统计，做好上传下达及区委、区政府交办的其它工作。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二、机构设置及决算单位构成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（一）内设机构设置。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（一）机构设置：内设机构</w:t>
      </w:r>
      <w:r>
        <w:rPr>
          <w:rFonts w:ascii="??_GB2312" w:hAnsi="??_GB2312" w:cs="??_GB2312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个，综合股和检测中心。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（二）人员编制情况：编制数</w:t>
      </w:r>
      <w:r>
        <w:rPr>
          <w:rFonts w:ascii="??_GB2312" w:hAnsi="??_GB2312" w:cs="??_GB2312"/>
          <w:sz w:val="32"/>
          <w:szCs w:val="32"/>
        </w:rPr>
        <w:t>10</w:t>
      </w:r>
      <w:r>
        <w:rPr>
          <w:rFonts w:ascii="宋体" w:hAnsi="宋体" w:cs="宋体" w:hint="eastAsia"/>
          <w:sz w:val="32"/>
          <w:szCs w:val="32"/>
        </w:rPr>
        <w:t>人，实有在职</w:t>
      </w:r>
      <w:r>
        <w:rPr>
          <w:rFonts w:ascii="??_GB2312" w:hAnsi="??_GB2312" w:cs="??_GB2312"/>
          <w:sz w:val="32"/>
          <w:szCs w:val="32"/>
        </w:rPr>
        <w:t>11</w:t>
      </w:r>
      <w:r>
        <w:rPr>
          <w:rFonts w:ascii="宋体" w:hAnsi="宋体" w:cs="宋体" w:hint="eastAsia"/>
          <w:sz w:val="32"/>
          <w:szCs w:val="32"/>
        </w:rPr>
        <w:t>人，退休人员</w:t>
      </w:r>
      <w:r>
        <w:rPr>
          <w:rFonts w:ascii="??_GB2312" w:hAnsi="??_GB2312" w:cs="??_GB2312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人，在职人员中正科级干部</w:t>
      </w:r>
      <w:r>
        <w:rPr>
          <w:rFonts w:ascii="??_GB2312" w:hAnsi="??_GB2312" w:cs="??_GB2312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人，副科级干部</w:t>
      </w:r>
      <w:r>
        <w:rPr>
          <w:rFonts w:ascii="??_GB2312" w:hAnsi="??_GB2312" w:cs="??_GB2312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人，工勤人员</w:t>
      </w:r>
      <w:r>
        <w:rPr>
          <w:rFonts w:ascii="??_GB2312" w:hAnsi="??_GB2312" w:cs="??_GB2312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人。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（二）</w:t>
      </w:r>
      <w:r>
        <w:rPr>
          <w:rFonts w:ascii="??_GB2312" w:hAnsi="??_GB2312" w:cs="??_GB2312"/>
          <w:sz w:val="32"/>
          <w:szCs w:val="32"/>
        </w:rPr>
        <w:t>2018</w:t>
      </w:r>
      <w:r>
        <w:rPr>
          <w:rFonts w:ascii="宋体" w:hAnsi="宋体" w:cs="宋体" w:hint="eastAsia"/>
          <w:sz w:val="32"/>
          <w:szCs w:val="32"/>
        </w:rPr>
        <w:t>年的重点工作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完成蔬菜播种面积</w:t>
      </w:r>
      <w:r>
        <w:rPr>
          <w:rFonts w:ascii="??_GB2312" w:hAnsi="??_GB2312" w:cs="??_GB2312"/>
          <w:sz w:val="32"/>
          <w:szCs w:val="32"/>
        </w:rPr>
        <w:t>29.7</w:t>
      </w:r>
      <w:r>
        <w:rPr>
          <w:rFonts w:ascii="宋体" w:hAnsi="宋体" w:cs="宋体" w:hint="eastAsia"/>
          <w:sz w:val="32"/>
          <w:szCs w:val="32"/>
        </w:rPr>
        <w:t>万亩，其中无公害蔬菜</w:t>
      </w:r>
      <w:r>
        <w:rPr>
          <w:rFonts w:ascii="??_GB2312" w:hAnsi="??_GB2312" w:cs="??_GB2312"/>
          <w:sz w:val="32"/>
          <w:szCs w:val="32"/>
        </w:rPr>
        <w:t>17.6</w:t>
      </w:r>
      <w:r>
        <w:rPr>
          <w:rFonts w:ascii="宋体" w:hAnsi="宋体" w:cs="宋体" w:hint="eastAsia"/>
          <w:sz w:val="32"/>
          <w:szCs w:val="32"/>
        </w:rPr>
        <w:t>万亩，蔬菜总产量</w:t>
      </w:r>
      <w:r>
        <w:rPr>
          <w:rFonts w:ascii="??_GB2312" w:hAnsi="??_GB2312" w:cs="??_GB2312"/>
          <w:sz w:val="32"/>
          <w:szCs w:val="32"/>
        </w:rPr>
        <w:t>45.1</w:t>
      </w:r>
      <w:r>
        <w:rPr>
          <w:rFonts w:ascii="宋体" w:hAnsi="宋体" w:cs="宋体" w:hint="eastAsia"/>
          <w:sz w:val="32"/>
          <w:szCs w:val="32"/>
        </w:rPr>
        <w:t>万吨，总产值</w:t>
      </w:r>
      <w:r>
        <w:rPr>
          <w:rFonts w:ascii="??_GB2312" w:hAnsi="??_GB2312" w:cs="??_GB2312"/>
          <w:sz w:val="32"/>
          <w:szCs w:val="32"/>
        </w:rPr>
        <w:t>9.35</w:t>
      </w:r>
      <w:r>
        <w:rPr>
          <w:rFonts w:ascii="宋体" w:hAnsi="宋体" w:cs="宋体" w:hint="eastAsia"/>
          <w:sz w:val="32"/>
          <w:szCs w:val="32"/>
        </w:rPr>
        <w:t>亿元；发展蔬菜加工，延伸产业链条，实现加工产值</w:t>
      </w:r>
      <w:r>
        <w:rPr>
          <w:rFonts w:ascii="??_GB2312" w:hAnsi="??_GB2312" w:cs="??_GB2312"/>
          <w:sz w:val="32"/>
          <w:szCs w:val="32"/>
        </w:rPr>
        <w:t>1.5</w:t>
      </w:r>
      <w:r>
        <w:rPr>
          <w:rFonts w:ascii="宋体" w:hAnsi="宋体" w:cs="宋体" w:hint="eastAsia"/>
          <w:sz w:val="32"/>
          <w:szCs w:val="32"/>
        </w:rPr>
        <w:t>亿元，达到蔬菜增量，菜农增收，居民满意的目标，进一步提升蔬菜产业整体质量和效益。完成区里交办的其他工作。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（三）部门整体支出情况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/>
          <w:sz w:val="32"/>
          <w:szCs w:val="32"/>
        </w:rPr>
        <w:t>2018</w:t>
      </w:r>
      <w:r>
        <w:rPr>
          <w:rFonts w:ascii="宋体" w:hAnsi="宋体" w:cs="宋体" w:hint="eastAsia"/>
          <w:sz w:val="32"/>
          <w:szCs w:val="32"/>
        </w:rPr>
        <w:t>年预算安排总支出</w:t>
      </w:r>
      <w:r>
        <w:rPr>
          <w:rFonts w:ascii="??_GB2312" w:hAnsi="??_GB2312" w:cs="??_GB2312"/>
          <w:sz w:val="32"/>
          <w:szCs w:val="32"/>
        </w:rPr>
        <w:t>193.38</w:t>
      </w:r>
      <w:r>
        <w:rPr>
          <w:rFonts w:ascii="宋体" w:hAnsi="宋体" w:cs="宋体" w:hint="eastAsia"/>
          <w:sz w:val="32"/>
          <w:szCs w:val="32"/>
        </w:rPr>
        <w:t>万元，其中工资福利支出</w:t>
      </w:r>
      <w:r>
        <w:rPr>
          <w:rFonts w:ascii="??_GB2312" w:hAnsi="??_GB2312" w:cs="??_GB2312"/>
          <w:sz w:val="32"/>
          <w:szCs w:val="32"/>
        </w:rPr>
        <w:t>118.41</w:t>
      </w:r>
      <w:r>
        <w:rPr>
          <w:rFonts w:ascii="宋体" w:hAnsi="宋体" w:cs="宋体" w:hint="eastAsia"/>
          <w:sz w:val="32"/>
          <w:szCs w:val="32"/>
        </w:rPr>
        <w:t>万元（其中包括住房公积金</w:t>
      </w:r>
      <w:r>
        <w:rPr>
          <w:rFonts w:ascii="??_GB2312" w:hAnsi="??_GB2312" w:cs="??_GB2312"/>
          <w:sz w:val="32"/>
          <w:szCs w:val="32"/>
        </w:rPr>
        <w:t>5.579</w:t>
      </w:r>
      <w:r>
        <w:rPr>
          <w:rFonts w:ascii="宋体" w:hAnsi="宋体" w:cs="宋体" w:hint="eastAsia"/>
          <w:sz w:val="32"/>
          <w:szCs w:val="32"/>
        </w:rPr>
        <w:t>万元），一般商品和服务支出</w:t>
      </w:r>
      <w:r>
        <w:rPr>
          <w:rFonts w:ascii="??_GB2312" w:hAnsi="??_GB2312" w:cs="??_GB2312"/>
          <w:sz w:val="32"/>
          <w:szCs w:val="32"/>
        </w:rPr>
        <w:t>13.2</w:t>
      </w:r>
      <w:r>
        <w:rPr>
          <w:rFonts w:ascii="宋体" w:hAnsi="宋体" w:cs="宋体" w:hint="eastAsia"/>
          <w:sz w:val="32"/>
          <w:szCs w:val="32"/>
        </w:rPr>
        <w:t>万元，农业结构调整补贴</w:t>
      </w:r>
      <w:r>
        <w:rPr>
          <w:rFonts w:ascii="??_GB2312" w:hAnsi="??_GB2312" w:cs="??_GB2312"/>
          <w:sz w:val="32"/>
          <w:szCs w:val="32"/>
        </w:rPr>
        <w:t>67.11</w:t>
      </w:r>
      <w:r>
        <w:rPr>
          <w:rFonts w:ascii="宋体" w:hAnsi="宋体" w:cs="宋体" w:hint="eastAsia"/>
          <w:sz w:val="32"/>
          <w:szCs w:val="32"/>
        </w:rPr>
        <w:t>万元。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二、部门整体支出管理及使用情况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（一）基本支出情况。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/>
          <w:sz w:val="32"/>
          <w:szCs w:val="32"/>
        </w:rPr>
        <w:t>2018</w:t>
      </w:r>
      <w:r>
        <w:rPr>
          <w:rFonts w:ascii="宋体" w:hAnsi="宋体" w:cs="宋体" w:hint="eastAsia"/>
          <w:sz w:val="32"/>
          <w:szCs w:val="32"/>
        </w:rPr>
        <w:t>年预算安排基本支出</w:t>
      </w:r>
      <w:r>
        <w:rPr>
          <w:rFonts w:ascii="??_GB2312" w:hAnsi="??_GB2312" w:cs="??_GB2312"/>
          <w:sz w:val="32"/>
          <w:szCs w:val="32"/>
        </w:rPr>
        <w:t>126.27</w:t>
      </w:r>
      <w:r>
        <w:rPr>
          <w:rFonts w:ascii="宋体" w:hAnsi="宋体" w:cs="宋体" w:hint="eastAsia"/>
          <w:sz w:val="32"/>
          <w:szCs w:val="32"/>
        </w:rPr>
        <w:t>万元，其中工资福利支出</w:t>
      </w:r>
      <w:r>
        <w:rPr>
          <w:rFonts w:ascii="??_GB2312" w:hAnsi="??_GB2312" w:cs="??_GB2312"/>
          <w:sz w:val="32"/>
          <w:szCs w:val="32"/>
        </w:rPr>
        <w:t>118.41</w:t>
      </w:r>
      <w:r>
        <w:rPr>
          <w:rFonts w:ascii="宋体" w:hAnsi="宋体" w:cs="宋体" w:hint="eastAsia"/>
          <w:sz w:val="32"/>
          <w:szCs w:val="32"/>
        </w:rPr>
        <w:t>万元（其中包括住房公积金</w:t>
      </w:r>
      <w:r>
        <w:rPr>
          <w:rFonts w:ascii="??_GB2312" w:hAnsi="??_GB2312" w:cs="??_GB2312"/>
          <w:sz w:val="32"/>
          <w:szCs w:val="32"/>
        </w:rPr>
        <w:t>5.579</w:t>
      </w:r>
      <w:r>
        <w:rPr>
          <w:rFonts w:ascii="宋体" w:hAnsi="宋体" w:cs="宋体" w:hint="eastAsia"/>
          <w:sz w:val="32"/>
          <w:szCs w:val="32"/>
        </w:rPr>
        <w:t>万元），一般商品和服务支出</w:t>
      </w:r>
      <w:r>
        <w:rPr>
          <w:rFonts w:ascii="??_GB2312" w:hAnsi="??_GB2312" w:cs="??_GB2312"/>
          <w:sz w:val="32"/>
          <w:szCs w:val="32"/>
        </w:rPr>
        <w:t>13.2</w:t>
      </w:r>
      <w:r>
        <w:rPr>
          <w:rFonts w:ascii="宋体" w:hAnsi="宋体" w:cs="宋体" w:hint="eastAsia"/>
          <w:sz w:val="32"/>
          <w:szCs w:val="32"/>
        </w:rPr>
        <w:t>万元。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项目支出情况。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/>
          <w:sz w:val="32"/>
          <w:szCs w:val="32"/>
        </w:rPr>
        <w:t>2018</w:t>
      </w:r>
      <w:r>
        <w:rPr>
          <w:rFonts w:ascii="宋体" w:hAnsi="宋体" w:cs="宋体" w:hint="eastAsia"/>
          <w:sz w:val="32"/>
          <w:szCs w:val="32"/>
        </w:rPr>
        <w:t>年预算安排项目支出</w:t>
      </w:r>
      <w:r>
        <w:rPr>
          <w:rFonts w:ascii="??_GB2312" w:hAnsi="??_GB2312" w:cs="??_GB2312"/>
          <w:sz w:val="32"/>
          <w:szCs w:val="32"/>
        </w:rPr>
        <w:t>67.11</w:t>
      </w:r>
      <w:r>
        <w:rPr>
          <w:rFonts w:ascii="宋体" w:hAnsi="宋体" w:cs="宋体" w:hint="eastAsia"/>
          <w:sz w:val="32"/>
          <w:szCs w:val="32"/>
        </w:rPr>
        <w:t>万元。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（三）</w:t>
      </w:r>
      <w:r>
        <w:rPr>
          <w:rFonts w:ascii="??_GB2312" w:hAnsi="??_GB2312" w:cs="??_GB2312"/>
          <w:sz w:val="32"/>
          <w:szCs w:val="32"/>
        </w:rPr>
        <w:t>“</w:t>
      </w:r>
      <w:r>
        <w:rPr>
          <w:rFonts w:ascii="宋体" w:hAnsi="宋体" w:cs="宋体" w:hint="eastAsia"/>
          <w:sz w:val="32"/>
          <w:szCs w:val="32"/>
        </w:rPr>
        <w:t>三公</w:t>
      </w:r>
      <w:r>
        <w:rPr>
          <w:rFonts w:ascii="??_GB2312" w:hAnsi="??_GB2312" w:cs="??_GB2312"/>
          <w:sz w:val="32"/>
          <w:szCs w:val="32"/>
        </w:rPr>
        <w:t>”</w:t>
      </w:r>
      <w:r>
        <w:rPr>
          <w:rFonts w:ascii="宋体" w:hAnsi="宋体" w:cs="宋体" w:hint="eastAsia"/>
          <w:sz w:val="32"/>
          <w:szCs w:val="32"/>
        </w:rPr>
        <w:t>经费情况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．因公出国（境）费用：无支出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．公务接待费：</w:t>
      </w:r>
      <w:r>
        <w:rPr>
          <w:rFonts w:ascii="??_GB2312" w:hAnsi="??_GB2312" w:cs="??_GB2312"/>
          <w:sz w:val="32"/>
          <w:szCs w:val="32"/>
        </w:rPr>
        <w:t>16353</w:t>
      </w:r>
      <w:r>
        <w:rPr>
          <w:rFonts w:ascii="宋体" w:hAnsi="宋体" w:cs="宋体" w:hint="eastAsia"/>
          <w:sz w:val="32"/>
          <w:szCs w:val="32"/>
        </w:rPr>
        <w:t>元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．公务用车购置及运行费：单位无公车，无支出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三、部门整体支出绩效情况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做到在预算安排内保障单位职工工资福利发放，做到政务、程序、预决算公开，厉行节约，提高固定资产利用效率，提高办事效率，办事程序公开，办事实际操作性增强，加强专业性技术指导，减少纠纷矛盾发生。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四、绩效自评得分情况及绩效等级。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自评得分</w:t>
      </w:r>
      <w:r>
        <w:rPr>
          <w:rFonts w:ascii="??_GB2312" w:hAnsi="??_GB2312" w:cs="??_GB2312"/>
          <w:sz w:val="32"/>
          <w:szCs w:val="32"/>
        </w:rPr>
        <w:t>92</w:t>
      </w:r>
      <w:r>
        <w:rPr>
          <w:rFonts w:ascii="宋体" w:hAnsi="宋体" w:cs="宋体" w:hint="eastAsia"/>
          <w:sz w:val="32"/>
          <w:szCs w:val="32"/>
        </w:rPr>
        <w:t>分、绩效等级：优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五、存在的问题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/>
          <w:sz w:val="32"/>
          <w:szCs w:val="32"/>
        </w:rPr>
        <w:t>1.</w:t>
      </w:r>
      <w:r>
        <w:rPr>
          <w:rFonts w:ascii="宋体" w:hAnsi="宋体" w:cs="宋体" w:hint="eastAsia"/>
          <w:sz w:val="32"/>
          <w:szCs w:val="32"/>
        </w:rPr>
        <w:t>绩效管理基础薄弱</w:t>
      </w:r>
      <w:r>
        <w:rPr>
          <w:rFonts w:ascii="??_GB2312" w:hAnsi="??_GB2312" w:cs="??_GB2312"/>
          <w:sz w:val="32"/>
          <w:szCs w:val="32"/>
        </w:rPr>
        <w:t> </w:t>
      </w:r>
      <w:r>
        <w:rPr>
          <w:rFonts w:ascii="??_GB2312" w:hAnsi="??_GB2312" w:cs="??_GB2312"/>
          <w:sz w:val="32"/>
          <w:szCs w:val="32"/>
        </w:rPr>
        <w:br/>
      </w:r>
      <w:r>
        <w:rPr>
          <w:rFonts w:ascii="宋体" w:hAnsi="宋体" w:cs="宋体" w:hint="eastAsia"/>
          <w:sz w:val="32"/>
          <w:szCs w:val="32"/>
        </w:rPr>
        <w:t xml:space="preserve">　　蔬菜局为农业委二级单位，对绩效管理的重要性认识不足，没有经常研究绩效管理目标，执行工作时又由于缺乏压力，管理松懈，不能实现统一协调，这导致绩效管理工作职能通常流于形式，不能保证绩效考评的质量，工作的积级性、主动性发挥不够。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/>
          <w:sz w:val="32"/>
          <w:szCs w:val="32"/>
        </w:rPr>
        <w:t>2.</w:t>
      </w:r>
      <w:r>
        <w:rPr>
          <w:rFonts w:ascii="宋体" w:hAnsi="宋体" w:cs="宋体" w:hint="eastAsia"/>
          <w:sz w:val="32"/>
          <w:szCs w:val="32"/>
        </w:rPr>
        <w:t>绩效管理体系不完善</w:t>
      </w:r>
      <w:r>
        <w:rPr>
          <w:rFonts w:ascii="??_GB2312" w:hAnsi="??_GB2312" w:cs="??_GB2312"/>
          <w:sz w:val="32"/>
          <w:szCs w:val="32"/>
        </w:rPr>
        <w:t> </w:t>
      </w:r>
      <w:r>
        <w:rPr>
          <w:rFonts w:ascii="??_GB2312" w:hAnsi="??_GB2312" w:cs="??_GB2312"/>
          <w:sz w:val="32"/>
          <w:szCs w:val="32"/>
        </w:rPr>
        <w:br/>
      </w:r>
      <w:r>
        <w:rPr>
          <w:rFonts w:ascii="宋体" w:hAnsi="宋体" w:cs="宋体" w:hint="eastAsia"/>
          <w:sz w:val="32"/>
          <w:szCs w:val="32"/>
        </w:rPr>
        <w:t xml:space="preserve">　　绩效管理有效运行必须以完善的绩效管理体系为平台，但是目前单位绩效管理并没有形成完备的系统，可操作性不强，考核过程中公平公正性、客观性难以得到保证，无法达到</w:t>
      </w:r>
      <w:r>
        <w:rPr>
          <w:rFonts w:ascii="??_GB2312" w:hAnsi="??_GB2312" w:cs="??_GB2312"/>
          <w:sz w:val="32"/>
          <w:szCs w:val="32"/>
        </w:rPr>
        <w:t>“</w:t>
      </w:r>
      <w:r>
        <w:rPr>
          <w:rFonts w:ascii="宋体" w:hAnsi="宋体" w:cs="宋体" w:hint="eastAsia"/>
          <w:sz w:val="32"/>
          <w:szCs w:val="32"/>
        </w:rPr>
        <w:t>奖优罚劣</w:t>
      </w:r>
      <w:r>
        <w:rPr>
          <w:rFonts w:ascii="??_GB2312" w:hAnsi="??_GB2312" w:cs="??_GB2312"/>
          <w:sz w:val="32"/>
          <w:szCs w:val="32"/>
        </w:rPr>
        <w:t>”</w:t>
      </w:r>
      <w:r>
        <w:rPr>
          <w:rFonts w:ascii="宋体" w:hAnsi="宋体" w:cs="宋体" w:hint="eastAsia"/>
          <w:sz w:val="32"/>
          <w:szCs w:val="32"/>
        </w:rPr>
        <w:t>的绩效管理目标。</w:t>
      </w:r>
      <w:r>
        <w:rPr>
          <w:rFonts w:ascii="??_GB2312" w:hAnsi="??_GB2312" w:cs="??_GB2312"/>
          <w:sz w:val="32"/>
          <w:szCs w:val="32"/>
        </w:rPr>
        <w:t> </w:t>
      </w:r>
      <w:r>
        <w:rPr>
          <w:rFonts w:ascii="宋体" w:hAnsi="宋体" w:cs="宋体" w:hint="eastAsia"/>
          <w:sz w:val="32"/>
          <w:szCs w:val="32"/>
        </w:rPr>
        <w:t xml:space="preserve">　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六、改进措施和有关建议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/>
          <w:sz w:val="32"/>
          <w:szCs w:val="32"/>
        </w:rPr>
        <w:t>1.</w:t>
      </w:r>
      <w:r>
        <w:rPr>
          <w:rFonts w:ascii="宋体" w:hAnsi="宋体" w:cs="宋体" w:hint="eastAsia"/>
          <w:sz w:val="32"/>
          <w:szCs w:val="32"/>
        </w:rPr>
        <w:t>深化对绩效管理工作的认识</w:t>
      </w:r>
      <w:r>
        <w:rPr>
          <w:rFonts w:ascii="??_GB2312" w:hAnsi="??_GB2312" w:cs="??_GB2312"/>
          <w:sz w:val="32"/>
          <w:szCs w:val="32"/>
        </w:rPr>
        <w:t> </w:t>
      </w:r>
      <w:r>
        <w:rPr>
          <w:rFonts w:ascii="??_GB2312" w:hAnsi="??_GB2312" w:cs="??_GB2312"/>
          <w:sz w:val="32"/>
          <w:szCs w:val="32"/>
        </w:rPr>
        <w:br/>
      </w:r>
      <w:r>
        <w:rPr>
          <w:rFonts w:ascii="宋体" w:hAnsi="宋体" w:cs="宋体" w:hint="eastAsia"/>
          <w:sz w:val="32"/>
          <w:szCs w:val="32"/>
        </w:rPr>
        <w:t xml:space="preserve">　　绩效管理在单位管理中具有很重要的作用，应在单位内部加强宣传。主要领导应该做好表率作用，加强自身建设，提高管理能力，将绩效管理工作提到日常议事日程中，通过检查和督促，推动绩效管理工作的顺利开展。强化员干部职工竞争与风险意识，不断发挥干部职工工作积极性、创造性与能动性。只有在单位内部形成互动参与的良好局面，才能令绩效管理发挥作用，推动单位自身的改革与发展。</w:t>
      </w:r>
      <w:r>
        <w:rPr>
          <w:rFonts w:ascii="??_GB2312" w:hAnsi="??_GB2312" w:cs="??_GB2312"/>
          <w:sz w:val="32"/>
          <w:szCs w:val="32"/>
        </w:rPr>
        <w:t> </w:t>
      </w:r>
      <w:r>
        <w:rPr>
          <w:rFonts w:ascii="??_GB2312" w:hAnsi="??_GB2312" w:cs="??_GB2312"/>
          <w:sz w:val="32"/>
          <w:szCs w:val="32"/>
        </w:rPr>
        <w:br/>
      </w:r>
      <w:r>
        <w:rPr>
          <w:rFonts w:ascii="宋体" w:hAnsi="宋体" w:cs="宋体" w:hint="eastAsia"/>
          <w:sz w:val="32"/>
          <w:szCs w:val="32"/>
        </w:rPr>
        <w:t xml:space="preserve">　　</w:t>
      </w:r>
      <w:r>
        <w:rPr>
          <w:rFonts w:ascii="??_GB2312" w:hAnsi="??_GB2312" w:cs="??_GB2312"/>
          <w:sz w:val="32"/>
          <w:szCs w:val="32"/>
        </w:rPr>
        <w:t>2.</w:t>
      </w:r>
      <w:r>
        <w:rPr>
          <w:rFonts w:ascii="宋体" w:hAnsi="宋体" w:cs="宋体" w:hint="eastAsia"/>
          <w:sz w:val="32"/>
          <w:szCs w:val="32"/>
        </w:rPr>
        <w:t>完善与健全绩效管理体系</w:t>
      </w:r>
      <w:r>
        <w:rPr>
          <w:rFonts w:ascii="??_GB2312" w:hAnsi="??_GB2312" w:cs="??_GB2312"/>
          <w:sz w:val="32"/>
          <w:szCs w:val="32"/>
        </w:rPr>
        <w:t> </w:t>
      </w:r>
      <w:r>
        <w:rPr>
          <w:rFonts w:ascii="??_GB2312" w:hAnsi="??_GB2312" w:cs="??_GB2312"/>
          <w:sz w:val="32"/>
          <w:szCs w:val="32"/>
        </w:rPr>
        <w:br/>
      </w:r>
      <w:r>
        <w:rPr>
          <w:rFonts w:ascii="宋体" w:hAnsi="宋体" w:cs="宋体" w:hint="eastAsia"/>
          <w:sz w:val="32"/>
          <w:szCs w:val="32"/>
        </w:rPr>
        <w:t xml:space="preserve">　　合理有效的绩效管理能够优化岗位配置，实现人岗优化配置，职责明确，关键岗位重点考核，另一方面能实现</w:t>
      </w:r>
      <w:r>
        <w:rPr>
          <w:rFonts w:ascii="??_GB2312" w:hAnsi="??_GB2312" w:cs="??_GB2312"/>
          <w:sz w:val="32"/>
          <w:szCs w:val="32"/>
        </w:rPr>
        <w:t>“</w:t>
      </w:r>
      <w:r>
        <w:rPr>
          <w:rFonts w:ascii="宋体" w:hAnsi="宋体" w:cs="宋体" w:hint="eastAsia"/>
          <w:sz w:val="32"/>
          <w:szCs w:val="32"/>
        </w:rPr>
        <w:t>奖优惩劣</w:t>
      </w:r>
      <w:r>
        <w:rPr>
          <w:rFonts w:ascii="??_GB2312" w:hAnsi="??_GB2312" w:cs="??_GB2312"/>
          <w:sz w:val="32"/>
          <w:szCs w:val="32"/>
        </w:rPr>
        <w:t>”</w:t>
      </w:r>
      <w:r>
        <w:rPr>
          <w:rFonts w:ascii="宋体" w:hAnsi="宋体" w:cs="宋体" w:hint="eastAsia"/>
          <w:sz w:val="32"/>
          <w:szCs w:val="32"/>
        </w:rPr>
        <w:t>，奖励优秀员工，鞭策落后员工，增强竞争意识，切实培养干部职工的工作能力，提高事业单位整体工作绩效。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/>
          <w:sz w:val="32"/>
          <w:szCs w:val="32"/>
        </w:rPr>
        <w:t>3.</w:t>
      </w:r>
      <w:r>
        <w:rPr>
          <w:rFonts w:ascii="宋体" w:hAnsi="宋体" w:cs="宋体" w:hint="eastAsia"/>
          <w:sz w:val="32"/>
          <w:szCs w:val="32"/>
        </w:rPr>
        <w:t>重视反馈工作</w:t>
      </w:r>
      <w:r>
        <w:rPr>
          <w:rFonts w:ascii="??_GB2312" w:hAnsi="??_GB2312" w:cs="??_GB2312"/>
          <w:sz w:val="32"/>
          <w:szCs w:val="32"/>
        </w:rPr>
        <w:t> </w:t>
      </w:r>
      <w:r>
        <w:rPr>
          <w:rFonts w:ascii="??_GB2312" w:hAnsi="??_GB2312" w:cs="??_GB2312"/>
          <w:sz w:val="32"/>
          <w:szCs w:val="32"/>
        </w:rPr>
        <w:br/>
      </w:r>
      <w:r>
        <w:rPr>
          <w:rFonts w:ascii="宋体" w:hAnsi="宋体" w:cs="宋体" w:hint="eastAsia"/>
          <w:sz w:val="32"/>
          <w:szCs w:val="32"/>
        </w:rPr>
        <w:t xml:space="preserve">　　绩效考核工作不应该止于得到考核结果，单位应该重视绩效考核结果的处理与反馈。要对考核结果进行分析，找出工作中的不足，提出建设性的综合意见，并加强反馈环节，以此来指导以后的工作。绩效考核的结果还应与有效的薪酬激励计划相联系，绩效结果应作为薪资调整、岗位调整的重要参考依据，这能让绩效管理真正具有动力与激励作用，提高干部职员和组织整体的效率与效益。</w:t>
      </w:r>
      <w:r>
        <w:rPr>
          <w:rFonts w:ascii="??_GB2312" w:hAnsi="??_GB2312" w:cs="??_GB2312"/>
          <w:sz w:val="32"/>
          <w:szCs w:val="32"/>
        </w:rPr>
        <w:t> </w:t>
      </w:r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</w:p>
    <w:p w:rsidR="00DD48F4" w:rsidRDefault="00DD48F4" w:rsidP="002061D7">
      <w:pPr>
        <w:spacing w:line="560" w:lineRule="exact"/>
        <w:ind w:firstLineChars="200" w:firstLine="31680"/>
        <w:jc w:val="righ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永州市冷水滩区蔬菜局</w:t>
      </w:r>
      <w:r>
        <w:rPr>
          <w:rFonts w:ascii="??_GB2312" w:hAnsi="??_GB2312" w:cs="??_GB2312"/>
          <w:sz w:val="32"/>
          <w:szCs w:val="32"/>
        </w:rPr>
        <w:t xml:space="preserve">  </w:t>
      </w:r>
      <w:bookmarkStart w:id="0" w:name="_GoBack"/>
      <w:bookmarkEnd w:id="0"/>
    </w:p>
    <w:p w:rsidR="00DD48F4" w:rsidRDefault="00DD48F4" w:rsidP="002061D7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/>
          <w:sz w:val="32"/>
          <w:szCs w:val="32"/>
        </w:rPr>
        <w:t xml:space="preserve">                              2019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??_GB2312" w:hAnsi="??_GB2312" w:cs="??_GB2312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??_GB2312" w:hAnsi="??_GB2312" w:cs="??_GB2312"/>
          <w:sz w:val="32"/>
          <w:szCs w:val="32"/>
        </w:rPr>
        <w:t>25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DD48F4" w:rsidRDefault="00DD48F4" w:rsidP="00E2651A">
      <w:pPr>
        <w:spacing w:line="560" w:lineRule="exact"/>
        <w:ind w:firstLineChars="200" w:firstLine="31680"/>
        <w:jc w:val="left"/>
        <w:rPr>
          <w:rFonts w:ascii="??_GB2312" w:hAnsi="??_GB2312" w:cs="??_GB2312"/>
          <w:sz w:val="32"/>
          <w:szCs w:val="32"/>
        </w:rPr>
      </w:pPr>
    </w:p>
    <w:sectPr w:rsidR="00DD48F4" w:rsidSect="00AD7D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8F4" w:rsidRDefault="00DD48F4" w:rsidP="00AD7D32">
      <w:r>
        <w:separator/>
      </w:r>
    </w:p>
  </w:endnote>
  <w:endnote w:type="continuationSeparator" w:id="0">
    <w:p w:rsidR="00DD48F4" w:rsidRDefault="00DD48F4" w:rsidP="00AD7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F4" w:rsidRDefault="00DD48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F4" w:rsidRDefault="00DD48F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DD48F4" w:rsidRDefault="00DD48F4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F4" w:rsidRDefault="00DD48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8F4" w:rsidRDefault="00DD48F4" w:rsidP="00AD7D32">
      <w:r>
        <w:separator/>
      </w:r>
    </w:p>
  </w:footnote>
  <w:footnote w:type="continuationSeparator" w:id="0">
    <w:p w:rsidR="00DD48F4" w:rsidRDefault="00DD48F4" w:rsidP="00AD7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F4" w:rsidRDefault="00DD48F4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F4" w:rsidRDefault="00DD48F4" w:rsidP="002061D7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F4" w:rsidRDefault="00DD48F4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D32"/>
    <w:rsid w:val="001806FD"/>
    <w:rsid w:val="002025B2"/>
    <w:rsid w:val="002061D7"/>
    <w:rsid w:val="004D3A5E"/>
    <w:rsid w:val="00604FD2"/>
    <w:rsid w:val="00AD7D32"/>
    <w:rsid w:val="00DD48F4"/>
    <w:rsid w:val="00DF6526"/>
    <w:rsid w:val="00E2651A"/>
    <w:rsid w:val="00E52EFA"/>
    <w:rsid w:val="06854564"/>
    <w:rsid w:val="07A55C62"/>
    <w:rsid w:val="085C3C6F"/>
    <w:rsid w:val="0A9F58EF"/>
    <w:rsid w:val="0AA710B5"/>
    <w:rsid w:val="1166050A"/>
    <w:rsid w:val="161F317E"/>
    <w:rsid w:val="256D1F58"/>
    <w:rsid w:val="287C1675"/>
    <w:rsid w:val="3B0E3B3F"/>
    <w:rsid w:val="4A8B4924"/>
    <w:rsid w:val="4C966FF3"/>
    <w:rsid w:val="53A21542"/>
    <w:rsid w:val="549A7F76"/>
    <w:rsid w:val="61763924"/>
    <w:rsid w:val="644F5419"/>
    <w:rsid w:val="647B3174"/>
    <w:rsid w:val="65D92C48"/>
    <w:rsid w:val="69651516"/>
    <w:rsid w:val="6D6F7B08"/>
    <w:rsid w:val="6E452F26"/>
    <w:rsid w:val="6E54070C"/>
    <w:rsid w:val="6EAA681E"/>
    <w:rsid w:val="741F39F0"/>
    <w:rsid w:val="77004E51"/>
    <w:rsid w:val="78FD1F55"/>
    <w:rsid w:val="7B371F0C"/>
    <w:rsid w:val="7D7E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D3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7D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D7D3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Calibri"/>
      <w:sz w:val="18"/>
      <w:szCs w:val="18"/>
    </w:rPr>
  </w:style>
  <w:style w:type="paragraph" w:styleId="NormalWeb">
    <w:name w:val="Normal (Web)"/>
    <w:basedOn w:val="Normal"/>
    <w:uiPriority w:val="99"/>
    <w:rsid w:val="00AD7D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267</Words>
  <Characters>1528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WinUser</cp:lastModifiedBy>
  <cp:revision>3</cp:revision>
  <cp:lastPrinted>2019-02-21T03:46:00Z</cp:lastPrinted>
  <dcterms:created xsi:type="dcterms:W3CDTF">2014-10-29T12:08:00Z</dcterms:created>
  <dcterms:modified xsi:type="dcterms:W3CDTF">2021-06-04T05:28:00Z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EC6D7D2FC38B4029929BFDAAED11A271</vt:lpwstr>
  </property>
</Properties>
</file>