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黑体" w:hAnsi="宋体" w:eastAsia="黑体"/>
          <w:b/>
          <w:bCs/>
          <w:sz w:val="44"/>
          <w:szCs w:val="44"/>
        </w:rPr>
      </w:pPr>
      <w:r>
        <w:rPr>
          <w:rFonts w:hint="eastAsia" w:ascii="黑体" w:hAnsi="宋体" w:eastAsia="黑体"/>
          <w:b/>
          <w:bCs/>
          <w:sz w:val="44"/>
          <w:szCs w:val="44"/>
        </w:rPr>
        <w:t>2018年度</w:t>
      </w:r>
      <w:bookmarkStart w:id="0" w:name="_Toc408479627"/>
      <w:bookmarkStart w:id="1" w:name="_Toc408496406"/>
      <w:bookmarkStart w:id="2" w:name="_Toc439770881"/>
      <w:r>
        <w:rPr>
          <w:rFonts w:hint="eastAsia" w:ascii="黑体" w:hAnsi="宋体" w:eastAsia="黑体"/>
          <w:b/>
          <w:bCs/>
          <w:sz w:val="44"/>
          <w:szCs w:val="44"/>
        </w:rPr>
        <w:t>冷水滩区食品药品监督管理局</w:t>
      </w:r>
      <w:bookmarkEnd w:id="0"/>
      <w:bookmarkEnd w:id="1"/>
      <w:bookmarkEnd w:id="2"/>
    </w:p>
    <w:p>
      <w:pPr>
        <w:jc w:val="center"/>
        <w:rPr>
          <w:rFonts w:ascii="黑体" w:hAnsi="宋体" w:eastAsia="黑体"/>
          <w:b/>
          <w:bCs/>
          <w:sz w:val="44"/>
          <w:szCs w:val="44"/>
        </w:rPr>
      </w:pPr>
      <w:r>
        <w:rPr>
          <w:rFonts w:hint="eastAsia" w:ascii="黑体" w:hAnsi="宋体" w:eastAsia="黑体"/>
          <w:b/>
          <w:bCs/>
          <w:sz w:val="44"/>
          <w:szCs w:val="44"/>
        </w:rPr>
        <w:t>专项资金绩效报告</w:t>
      </w:r>
    </w:p>
    <w:p>
      <w:pPr>
        <w:pStyle w:val="3"/>
        <w:spacing w:line="440" w:lineRule="exact"/>
        <w:rPr>
          <w:rFonts w:ascii="仿宋" w:hAnsi="仿宋" w:eastAsia="仿宋"/>
          <w:szCs w:val="32"/>
        </w:rPr>
      </w:pPr>
      <w:r>
        <w:rPr>
          <w:rFonts w:hint="eastAsia" w:ascii="仿宋" w:hAnsi="仿宋" w:eastAsia="仿宋"/>
          <w:szCs w:val="32"/>
        </w:rPr>
        <w:t>一、项目概况</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w:t>
      </w:r>
      <w:r>
        <w:rPr>
          <w:rFonts w:hint="eastAsia" w:ascii="仿宋" w:hAnsi="仿宋" w:eastAsia="仿宋" w:cs="仿宋_GB2312"/>
          <w:b/>
          <w:sz w:val="32"/>
          <w:szCs w:val="32"/>
        </w:rPr>
        <w:t>项目单位基本情况</w:t>
      </w:r>
    </w:p>
    <w:p>
      <w:pPr>
        <w:widowControl/>
        <w:shd w:val="clear" w:color="auto" w:fill="FFFFFF"/>
        <w:snapToGrid w:val="0"/>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我局实设8个内设机构，包括办公室、政策法规股、食品生产流通股、药械保化监管股、安全监测股、规划财务股、后勤保障股、餐饮监管股；设10个下属机构，包括稽查大队、快检中心、梅湾食品药品监管所、凤凰园食品药品监管所、杨家桥食品药品监管所、上岭桥食品药品监管所、蔡市食品药品监管所、普利桥食品药品监管所、黄阳司食品药品监管所、岚角山食品药品监管所。本单位截止2018年12月底实有总编制人数142个，其中：行政编制13人，参公编制12人，行政工勤1人，事业编制116人。</w:t>
      </w:r>
    </w:p>
    <w:p>
      <w:pPr>
        <w:pStyle w:val="3"/>
        <w:spacing w:line="440" w:lineRule="exact"/>
        <w:ind w:firstLine="643" w:firstLineChars="200"/>
        <w:rPr>
          <w:rFonts w:ascii="仿宋" w:hAnsi="仿宋" w:eastAsia="仿宋"/>
          <w:szCs w:val="32"/>
        </w:rPr>
      </w:pPr>
      <w:r>
        <w:rPr>
          <w:rFonts w:hint="eastAsia" w:ascii="仿宋" w:hAnsi="仿宋" w:eastAsia="仿宋"/>
          <w:szCs w:val="32"/>
        </w:rPr>
        <w:t>（二）项目年度预算绩效目标等情况</w:t>
      </w:r>
    </w:p>
    <w:p>
      <w:pPr>
        <w:spacing w:line="440" w:lineRule="exact"/>
        <w:ind w:firstLine="640" w:firstLineChars="200"/>
        <w:rPr>
          <w:rFonts w:ascii="仿宋" w:hAnsi="仿宋" w:eastAsia="仿宋" w:cs="仿宋_GB2312"/>
          <w:sz w:val="32"/>
          <w:szCs w:val="32"/>
        </w:rPr>
      </w:pPr>
      <w:r>
        <w:rPr>
          <w:rFonts w:hint="eastAsia" w:ascii="仿宋" w:hAnsi="仿宋" w:eastAsia="仿宋"/>
          <w:sz w:val="32"/>
          <w:szCs w:val="32"/>
        </w:rPr>
        <w:t>1</w:t>
      </w:r>
      <w:r>
        <w:rPr>
          <w:rFonts w:hint="eastAsia" w:ascii="仿宋" w:hAnsi="仿宋" w:eastAsia="仿宋" w:cs="仿宋_GB2312"/>
          <w:sz w:val="32"/>
          <w:szCs w:val="32"/>
        </w:rPr>
        <w:t>、加大食品药品监管力度，杜绝食品安全事故发生。2、加强监管队伍能力建设，提升食品药品管理水平。3、积极探索食品药品安全监管社会化管理模式，实施监管群防群控，形成食品药品安全社会共治新格局。4、</w:t>
      </w:r>
      <w:r>
        <w:rPr>
          <w:rFonts w:ascii="仿宋" w:hAnsi="仿宋" w:eastAsia="仿宋" w:cs="宋体"/>
          <w:sz w:val="32"/>
          <w:szCs w:val="32"/>
        </w:rPr>
        <w:t>大力开展学校食堂标准化建设</w:t>
      </w:r>
      <w:r>
        <w:rPr>
          <w:rFonts w:hint="eastAsia" w:ascii="仿宋" w:hAnsi="仿宋" w:eastAsia="仿宋" w:cs="仿宋_GB2312"/>
          <w:sz w:val="32"/>
          <w:szCs w:val="32"/>
        </w:rPr>
        <w:t>5、开展扶优打劣，培育食品药品龙头企业。</w:t>
      </w:r>
    </w:p>
    <w:p>
      <w:pPr>
        <w:pStyle w:val="2"/>
        <w:spacing w:line="440" w:lineRule="exact"/>
        <w:ind w:firstLine="643" w:firstLineChars="200"/>
        <w:rPr>
          <w:rFonts w:ascii="仿宋" w:hAnsi="仿宋" w:eastAsia="仿宋"/>
        </w:rPr>
      </w:pPr>
      <w:r>
        <w:rPr>
          <w:rFonts w:hint="eastAsia" w:ascii="仿宋" w:hAnsi="仿宋" w:eastAsia="仿宋"/>
        </w:rPr>
        <w:t xml:space="preserve">二、项目资金使用及管理情况 </w:t>
      </w:r>
    </w:p>
    <w:p>
      <w:pPr>
        <w:spacing w:line="440" w:lineRule="exact"/>
        <w:ind w:firstLine="643" w:firstLineChars="200"/>
        <w:rPr>
          <w:rFonts w:ascii="仿宋" w:hAnsi="仿宋" w:eastAsia="仿宋" w:cs="仿宋_GB2312"/>
          <w:sz w:val="32"/>
          <w:szCs w:val="32"/>
        </w:rPr>
      </w:pPr>
      <w:r>
        <w:rPr>
          <w:rFonts w:hint="eastAsia" w:ascii="仿宋" w:hAnsi="仿宋" w:eastAsia="仿宋" w:cs="楷体_GB2312"/>
          <w:b/>
          <w:sz w:val="32"/>
          <w:szCs w:val="32"/>
        </w:rPr>
        <w:t>（</w:t>
      </w:r>
      <w:r>
        <w:rPr>
          <w:rFonts w:hint="eastAsia" w:ascii="仿宋" w:hAnsi="仿宋" w:eastAsia="仿宋" w:cs="仿宋_GB2312"/>
          <w:b/>
          <w:sz w:val="32"/>
          <w:szCs w:val="32"/>
        </w:rPr>
        <w:t>一）项目资金安排落实情况分析</w:t>
      </w:r>
      <w:r>
        <w:rPr>
          <w:rFonts w:hint="eastAsia" w:ascii="仿宋" w:hAnsi="仿宋" w:eastAsia="仿宋" w:cs="仿宋_GB2312"/>
          <w:sz w:val="32"/>
          <w:szCs w:val="32"/>
        </w:rPr>
        <w:t>。</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  项目预算安排资金69.5万元，已纳入2018年区本级项目支出预算并全部到位。</w:t>
      </w:r>
    </w:p>
    <w:p>
      <w:pPr>
        <w:spacing w:line="44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（二）项目资金实际使用情况分析。</w:t>
      </w:r>
    </w:p>
    <w:p>
      <w:pPr>
        <w:spacing w:line="44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项目</w:t>
      </w:r>
      <w:r>
        <w:rPr>
          <w:rFonts w:hint="eastAsia" w:ascii="仿宋" w:hAnsi="仿宋" w:eastAsia="仿宋" w:cs="仿宋_GB2312"/>
          <w:sz w:val="32"/>
          <w:szCs w:val="32"/>
          <w:lang w:eastAsia="zh-CN"/>
        </w:rPr>
        <w:t>预算</w:t>
      </w:r>
      <w:r>
        <w:rPr>
          <w:rFonts w:hint="eastAsia" w:ascii="仿宋" w:hAnsi="仿宋" w:eastAsia="仿宋" w:cs="仿宋_GB2312"/>
          <w:sz w:val="32"/>
          <w:szCs w:val="32"/>
        </w:rPr>
        <w:t>总投入资金69.5万元。具体业务经费项目为：食品药品检验费；乡镇（街道）食品药品监管所执法人员工作经费；食品药品安全有奖举报奖励。</w:t>
      </w:r>
      <w:r>
        <w:rPr>
          <w:rFonts w:hint="eastAsia" w:ascii="仿宋" w:hAnsi="仿宋" w:eastAsia="仿宋" w:cs="仿宋_GB2312"/>
          <w:sz w:val="32"/>
          <w:szCs w:val="32"/>
          <w:lang w:eastAsia="zh-CN"/>
        </w:rPr>
        <w:t>专款专用，未出现挪用、占用等情况。</w:t>
      </w:r>
      <w:bookmarkStart w:id="3" w:name="_GoBack"/>
      <w:bookmarkEnd w:id="3"/>
    </w:p>
    <w:p>
      <w:pPr>
        <w:spacing w:line="440" w:lineRule="exact"/>
        <w:ind w:firstLine="643" w:firstLineChars="200"/>
        <w:rPr>
          <w:rFonts w:ascii="仿宋" w:hAnsi="仿宋" w:eastAsia="仿宋" w:cs="仿宋_GB2312"/>
          <w:b/>
          <w:sz w:val="32"/>
          <w:szCs w:val="32"/>
        </w:rPr>
      </w:pPr>
      <w:r>
        <w:rPr>
          <w:rFonts w:hint="eastAsia" w:ascii="仿宋" w:hAnsi="仿宋" w:eastAsia="仿宋" w:cs="仿宋_GB2312"/>
          <w:b/>
          <w:sz w:val="32"/>
          <w:szCs w:val="32"/>
        </w:rPr>
        <w:t>（三）项目资金管理情况分析。</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为了加强项目资金管理，项目资金支出都严格按照财务管理制度的相关规定严格有序地进行操作。在项目资金使用过程中，厉行节约，避免浪费，让项目资金的效益的实现最大化。</w:t>
      </w:r>
    </w:p>
    <w:p>
      <w:pPr>
        <w:spacing w:line="44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三、项目组织实施情况</w:t>
      </w:r>
    </w:p>
    <w:p>
      <w:pPr>
        <w:spacing w:line="44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（一）项目组织情况分析。</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ascii="仿宋" w:hAnsi="仿宋" w:eastAsia="仿宋" w:cs="宋体"/>
          <w:sz w:val="32"/>
          <w:szCs w:val="32"/>
        </w:rPr>
        <w:t>扎实开展食品安全“护苗行动”。全年共检查学校周边餐饮服务和经营单位共2164家次，责令整改385家,查处学校及周边食品和饮用水违法案</w:t>
      </w:r>
      <w:r>
        <w:rPr>
          <w:rFonts w:ascii="仿宋" w:hAnsi="仿宋" w:eastAsia="仿宋" w:cs="仿宋_GB2312"/>
          <w:sz w:val="32"/>
          <w:szCs w:val="32"/>
        </w:rPr>
        <w:t>件30余起</w:t>
      </w:r>
      <w:r>
        <w:rPr>
          <w:rFonts w:hint="eastAsia" w:ascii="仿宋" w:hAnsi="仿宋" w:eastAsia="仿宋" w:cs="仿宋_GB2312"/>
          <w:sz w:val="32"/>
          <w:szCs w:val="32"/>
        </w:rPr>
        <w:t>。</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2、开展“单位食堂标准化建设年”活动。</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w:t>
      </w:r>
      <w:r>
        <w:rPr>
          <w:rFonts w:ascii="仿宋" w:hAnsi="仿宋" w:eastAsia="仿宋" w:cs="仿宋_GB2312"/>
          <w:sz w:val="32"/>
          <w:szCs w:val="32"/>
        </w:rPr>
        <w:t>切实开展“一桌餐私房菜”专项治理</w:t>
      </w:r>
      <w:r>
        <w:rPr>
          <w:rFonts w:hint="eastAsia" w:ascii="仿宋" w:hAnsi="仿宋" w:eastAsia="仿宋" w:cs="仿宋_GB2312"/>
          <w:sz w:val="32"/>
          <w:szCs w:val="32"/>
        </w:rPr>
        <w:t>。</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w:t>
      </w:r>
      <w:r>
        <w:rPr>
          <w:rFonts w:ascii="仿宋" w:hAnsi="仿宋" w:eastAsia="仿宋" w:cs="仿宋_GB2312"/>
          <w:sz w:val="32"/>
          <w:szCs w:val="32"/>
        </w:rPr>
        <w:t>积极开展食品药品投诉举报处置工作</w:t>
      </w:r>
      <w:r>
        <w:rPr>
          <w:rFonts w:hint="eastAsia" w:ascii="仿宋" w:hAnsi="仿宋" w:eastAsia="仿宋" w:cs="仿宋_GB2312"/>
          <w:sz w:val="32"/>
          <w:szCs w:val="32"/>
        </w:rPr>
        <w:t>，</w:t>
      </w:r>
      <w:r>
        <w:rPr>
          <w:rFonts w:ascii="仿宋" w:hAnsi="仿宋" w:eastAsia="仿宋" w:cs="仿宋_GB2312"/>
          <w:sz w:val="32"/>
          <w:szCs w:val="32"/>
        </w:rPr>
        <w:t>全年共受理食品药品投诉举报218起，立案查处29起，投诉举报处理率、回复率均为100%。</w:t>
      </w:r>
    </w:p>
    <w:p>
      <w:pPr>
        <w:spacing w:line="440" w:lineRule="exact"/>
        <w:ind w:firstLine="643" w:firstLineChars="200"/>
        <w:rPr>
          <w:rFonts w:ascii="仿宋" w:hAnsi="仿宋" w:eastAsia="仿宋" w:cs="仿宋_GB2312"/>
          <w:b/>
          <w:sz w:val="32"/>
          <w:szCs w:val="32"/>
        </w:rPr>
      </w:pPr>
    </w:p>
    <w:p>
      <w:pPr>
        <w:spacing w:line="440" w:lineRule="exact"/>
        <w:ind w:firstLine="643" w:firstLineChars="200"/>
        <w:rPr>
          <w:rFonts w:ascii="仿宋" w:hAnsi="仿宋" w:eastAsia="仿宋"/>
          <w:b/>
          <w:bCs/>
          <w:sz w:val="32"/>
          <w:szCs w:val="32"/>
        </w:rPr>
      </w:pPr>
      <w:r>
        <w:rPr>
          <w:rFonts w:hint="eastAsia" w:ascii="仿宋" w:hAnsi="仿宋" w:eastAsia="仿宋" w:cs="仿宋_GB2312"/>
          <w:b/>
          <w:sz w:val="32"/>
          <w:szCs w:val="32"/>
        </w:rPr>
        <w:t>四、</w:t>
      </w:r>
      <w:r>
        <w:rPr>
          <w:rFonts w:hint="eastAsia" w:ascii="仿宋" w:hAnsi="仿宋" w:eastAsia="仿宋"/>
          <w:b/>
          <w:bCs/>
          <w:sz w:val="32"/>
          <w:szCs w:val="32"/>
        </w:rPr>
        <w:t>项目绩效情况</w:t>
      </w:r>
    </w:p>
    <w:p>
      <w:pPr>
        <w:numPr>
          <w:ilvl w:val="0"/>
          <w:numId w:val="1"/>
        </w:num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项目绩效目标完成情况分析</w:t>
      </w:r>
    </w:p>
    <w:p>
      <w:p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 xml:space="preserve">  1. 经济性</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需要施行的项目，在实施的过程中，严格地控制经费的支出，实际总支出未超出预算范围。</w:t>
      </w:r>
    </w:p>
    <w:p>
      <w:p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 xml:space="preserve">  2.效率性</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项目在规定的期限内全部实施完毕，效率高。</w:t>
      </w:r>
    </w:p>
    <w:p>
      <w:pPr>
        <w:spacing w:line="440" w:lineRule="exact"/>
        <w:ind w:firstLine="640" w:firstLineChars="200"/>
        <w:rPr>
          <w:rFonts w:ascii="仿宋" w:hAnsi="仿宋" w:eastAsia="仿宋"/>
          <w:b/>
          <w:bCs/>
          <w:sz w:val="32"/>
          <w:szCs w:val="32"/>
        </w:rPr>
      </w:pPr>
      <w:r>
        <w:rPr>
          <w:rFonts w:hint="eastAsia" w:ascii="仿宋" w:hAnsi="仿宋" w:eastAsia="仿宋"/>
          <w:sz w:val="32"/>
          <w:szCs w:val="32"/>
        </w:rPr>
        <w:t xml:space="preserve">  </w:t>
      </w:r>
      <w:r>
        <w:rPr>
          <w:rFonts w:hint="eastAsia" w:ascii="仿宋" w:hAnsi="仿宋" w:eastAsia="仿宋"/>
          <w:b/>
          <w:bCs/>
          <w:sz w:val="32"/>
          <w:szCs w:val="32"/>
        </w:rPr>
        <w:t>3.有效性</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加强食品药品安全监管能力管理建设，开展食品药品安全风险监测工作，为全区食品药品安全工作提供保障。</w:t>
      </w:r>
    </w:p>
    <w:p>
      <w:p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（二）项目绩效目标未完成原因分析</w:t>
      </w:r>
    </w:p>
    <w:p>
      <w:pPr>
        <w:spacing w:line="440" w:lineRule="exact"/>
        <w:ind w:firstLine="640" w:firstLineChars="200"/>
        <w:rPr>
          <w:rFonts w:hint="eastAsia" w:ascii="仿宋" w:hAnsi="仿宋" w:eastAsia="仿宋"/>
          <w:sz w:val="32"/>
          <w:szCs w:val="32"/>
        </w:rPr>
      </w:pPr>
      <w:r>
        <w:rPr>
          <w:rFonts w:hint="eastAsia" w:ascii="仿宋" w:hAnsi="仿宋" w:eastAsia="仿宋"/>
          <w:sz w:val="32"/>
          <w:szCs w:val="32"/>
        </w:rPr>
        <w:t>2018年项目绩效目标均顺利完成。</w:t>
      </w:r>
    </w:p>
    <w:p>
      <w:pPr>
        <w:numPr>
          <w:ilvl w:val="0"/>
          <w:numId w:val="2"/>
        </w:numPr>
        <w:spacing w:line="440" w:lineRule="exact"/>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绩效自评得分等级结果</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绩效自评得分为97分绩效等级为优</w:t>
      </w:r>
    </w:p>
    <w:p>
      <w:pPr>
        <w:numPr>
          <w:ilvl w:val="0"/>
          <w:numId w:val="0"/>
        </w:numPr>
        <w:spacing w:line="440" w:lineRule="exact"/>
        <w:ind w:firstLine="643" w:firstLineChars="200"/>
        <w:rPr>
          <w:rFonts w:ascii="仿宋" w:hAnsi="仿宋" w:eastAsia="仿宋"/>
          <w:b/>
          <w:bCs/>
          <w:sz w:val="32"/>
          <w:szCs w:val="32"/>
        </w:rPr>
      </w:pPr>
      <w:r>
        <w:rPr>
          <w:rFonts w:hint="eastAsia" w:ascii="仿宋" w:hAnsi="仿宋" w:eastAsia="仿宋"/>
          <w:b/>
          <w:bCs/>
          <w:sz w:val="32"/>
          <w:szCs w:val="32"/>
          <w:lang w:val="en-US" w:eastAsia="zh-CN"/>
        </w:rPr>
        <w:t>六、</w:t>
      </w:r>
      <w:r>
        <w:rPr>
          <w:rFonts w:hint="eastAsia" w:ascii="仿宋" w:hAnsi="仿宋" w:eastAsia="仿宋"/>
          <w:b/>
          <w:bCs/>
          <w:sz w:val="32"/>
          <w:szCs w:val="32"/>
        </w:rPr>
        <w:t>其他需要说明的问题</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（一）在2019年将继续加强对项目资金的管理，坚持专款专用的原则，保证专项资金的安全，使得工作顺利开展。</w:t>
      </w:r>
    </w:p>
    <w:p>
      <w:pPr>
        <w:spacing w:line="440" w:lineRule="exact"/>
        <w:ind w:firstLine="640" w:firstLineChars="200"/>
        <w:rPr>
          <w:rFonts w:ascii="仿宋" w:hAnsi="仿宋" w:eastAsia="仿宋"/>
          <w:sz w:val="32"/>
          <w:szCs w:val="32"/>
        </w:rPr>
      </w:pPr>
      <w:r>
        <w:rPr>
          <w:rFonts w:hint="eastAsia" w:ascii="仿宋" w:hAnsi="仿宋" w:eastAsia="仿宋" w:cs="仿宋_GB2312"/>
          <w:sz w:val="32"/>
          <w:szCs w:val="32"/>
        </w:rPr>
        <w:t>（二）</w:t>
      </w:r>
      <w:r>
        <w:rPr>
          <w:rFonts w:hint="eastAsia" w:ascii="仿宋" w:hAnsi="仿宋" w:eastAsia="仿宋"/>
          <w:sz w:val="32"/>
          <w:szCs w:val="32"/>
        </w:rPr>
        <w:t>严格按照政策标准，优化支出结构，加快工作进度，提高预算编制的科学化精细化水平。</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（三）完善项目责任制。各业务股室为项目实施责任单位，应加强与财务部门的沟通协调和项目实施，加快预算的执行进度，争取达到财政要求。</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（四）培养专业性人才，加强创新，积极进取。</w:t>
      </w:r>
    </w:p>
    <w:p>
      <w:pPr>
        <w:spacing w:line="440" w:lineRule="exact"/>
        <w:rPr>
          <w:rFonts w:ascii="仿宋" w:hAnsi="仿宋" w:eastAsia="仿宋"/>
          <w:sz w:val="32"/>
          <w:szCs w:val="32"/>
        </w:rPr>
      </w:pPr>
    </w:p>
    <w:p>
      <w:pPr>
        <w:spacing w:line="440" w:lineRule="exact"/>
        <w:rPr>
          <w:rFonts w:ascii="仿宋" w:hAnsi="仿宋" w:eastAsia="仿宋"/>
          <w:sz w:val="32"/>
          <w:szCs w:val="32"/>
        </w:rPr>
      </w:pPr>
      <w:r>
        <w:rPr>
          <w:rFonts w:hint="eastAsia" w:ascii="仿宋" w:hAnsi="仿宋" w:eastAsia="仿宋"/>
          <w:sz w:val="32"/>
          <w:szCs w:val="32"/>
        </w:rPr>
        <w:t xml:space="preserve">                        </w:t>
      </w:r>
    </w:p>
    <w:p>
      <w:pPr>
        <w:spacing w:line="440" w:lineRule="exact"/>
        <w:rPr>
          <w:rFonts w:ascii="仿宋" w:hAnsi="仿宋" w:eastAsia="仿宋"/>
          <w:sz w:val="32"/>
          <w:szCs w:val="32"/>
        </w:rPr>
      </w:pPr>
    </w:p>
    <w:p>
      <w:pPr>
        <w:spacing w:line="440" w:lineRule="exact"/>
        <w:rPr>
          <w:rFonts w:ascii="仿宋" w:hAnsi="仿宋" w:eastAsia="仿宋"/>
          <w:sz w:val="32"/>
          <w:szCs w:val="32"/>
        </w:rPr>
      </w:pPr>
    </w:p>
    <w:p>
      <w:pPr>
        <w:spacing w:line="440" w:lineRule="exact"/>
        <w:rPr>
          <w:rFonts w:ascii="仿宋" w:hAnsi="仿宋" w:eastAsia="仿宋"/>
          <w:sz w:val="32"/>
          <w:szCs w:val="32"/>
        </w:rPr>
      </w:pPr>
    </w:p>
    <w:p>
      <w:pPr>
        <w:spacing w:line="440" w:lineRule="exact"/>
        <w:ind w:firstLine="2880" w:firstLineChars="900"/>
        <w:rPr>
          <w:rFonts w:ascii="仿宋" w:hAnsi="仿宋" w:eastAsia="仿宋"/>
          <w:sz w:val="32"/>
          <w:szCs w:val="32"/>
        </w:rPr>
      </w:pPr>
    </w:p>
    <w:p>
      <w:pPr>
        <w:spacing w:line="440" w:lineRule="exact"/>
        <w:ind w:firstLine="2880" w:firstLineChars="900"/>
        <w:rPr>
          <w:rFonts w:ascii="仿宋" w:hAnsi="仿宋" w:eastAsia="仿宋"/>
          <w:sz w:val="32"/>
          <w:szCs w:val="32"/>
        </w:rPr>
      </w:pPr>
    </w:p>
    <w:p>
      <w:pPr>
        <w:spacing w:line="440" w:lineRule="exact"/>
        <w:ind w:firstLine="2880" w:firstLineChars="9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r>
        <w:rPr>
          <w:rFonts w:hint="eastAsia" w:ascii="仿宋" w:hAnsi="仿宋" w:eastAsia="仿宋"/>
          <w:sz w:val="32"/>
          <w:szCs w:val="32"/>
        </w:rPr>
        <w:t xml:space="preserve"> 冷水滩区食品药品监督管理局</w:t>
      </w:r>
    </w:p>
    <w:p>
      <w:pPr>
        <w:spacing w:line="440" w:lineRule="exact"/>
        <w:rPr>
          <w:rFonts w:ascii="仿宋" w:hAnsi="仿宋" w:eastAsia="仿宋"/>
          <w:sz w:val="32"/>
          <w:szCs w:val="32"/>
        </w:rPr>
      </w:pPr>
      <w:r>
        <w:rPr>
          <w:rFonts w:hint="eastAsia" w:ascii="仿宋" w:hAnsi="仿宋" w:eastAsia="仿宋"/>
          <w:sz w:val="32"/>
          <w:szCs w:val="32"/>
        </w:rPr>
        <w:t xml:space="preserve">                               2019年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5</w:t>
      </w:r>
      <w:r>
        <w:rPr>
          <w:rFonts w:hint="eastAsia" w:ascii="仿宋" w:hAnsi="仿宋" w:eastAsia="仿宋"/>
          <w:sz w:val="32"/>
          <w:szCs w:val="32"/>
        </w:rPr>
        <w:t>日</w:t>
      </w:r>
    </w:p>
    <w:p>
      <w:pPr>
        <w:spacing w:line="440" w:lineRule="exac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25534"/>
    <w:multiLevelType w:val="singleLevel"/>
    <w:tmpl w:val="37325534"/>
    <w:lvl w:ilvl="0" w:tentative="0">
      <w:start w:val="5"/>
      <w:numFmt w:val="chineseCounting"/>
      <w:suff w:val="nothing"/>
      <w:lvlText w:val="%1、"/>
      <w:lvlJc w:val="left"/>
      <w:rPr>
        <w:rFonts w:hint="eastAsia"/>
      </w:rPr>
    </w:lvl>
  </w:abstractNum>
  <w:abstractNum w:abstractNumId="1">
    <w:nsid w:val="5A7286FF"/>
    <w:multiLevelType w:val="singleLevel"/>
    <w:tmpl w:val="5A7286FF"/>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2E34"/>
    <w:rsid w:val="00186795"/>
    <w:rsid w:val="001E20CE"/>
    <w:rsid w:val="002C2E34"/>
    <w:rsid w:val="00303C5E"/>
    <w:rsid w:val="00327031"/>
    <w:rsid w:val="003602B4"/>
    <w:rsid w:val="003C76D8"/>
    <w:rsid w:val="00402C49"/>
    <w:rsid w:val="00403ADE"/>
    <w:rsid w:val="0041226F"/>
    <w:rsid w:val="0051473D"/>
    <w:rsid w:val="00544D88"/>
    <w:rsid w:val="005A1041"/>
    <w:rsid w:val="005B02E7"/>
    <w:rsid w:val="007D310E"/>
    <w:rsid w:val="007D72E4"/>
    <w:rsid w:val="00935B7C"/>
    <w:rsid w:val="00A4184C"/>
    <w:rsid w:val="00A62E7C"/>
    <w:rsid w:val="00BE42ED"/>
    <w:rsid w:val="00C44C58"/>
    <w:rsid w:val="00CE0A32"/>
    <w:rsid w:val="00DE0968"/>
    <w:rsid w:val="00E92CF2"/>
    <w:rsid w:val="00ED02C9"/>
    <w:rsid w:val="03715189"/>
    <w:rsid w:val="073513FE"/>
    <w:rsid w:val="0A386B53"/>
    <w:rsid w:val="0C2F1607"/>
    <w:rsid w:val="344A4B91"/>
    <w:rsid w:val="3B957B28"/>
    <w:rsid w:val="42413335"/>
    <w:rsid w:val="4395747D"/>
    <w:rsid w:val="4E3C00DF"/>
    <w:rsid w:val="570B2CD3"/>
    <w:rsid w:val="63660204"/>
    <w:rsid w:val="7037481B"/>
    <w:rsid w:val="75C04147"/>
    <w:rsid w:val="7DE84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6"/>
    <w:qFormat/>
    <w:uiPriority w:val="0"/>
    <w:pPr>
      <w:keepNext/>
      <w:keepLines/>
      <w:spacing w:before="260" w:after="260" w:line="415" w:lineRule="auto"/>
      <w:outlineLvl w:val="2"/>
    </w:pPr>
    <w:rPr>
      <w:b/>
      <w:sz w:val="32"/>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character" w:customStyle="1" w:styleId="6">
    <w:name w:val="标题 3 Char"/>
    <w:basedOn w:val="4"/>
    <w:link w:val="3"/>
    <w:uiPriority w:val="0"/>
    <w:rPr>
      <w:rFonts w:ascii="Times New Roman" w:hAnsi="Times New Roman" w:eastAsia="宋体" w:cs="Times New Roman"/>
      <w:b/>
      <w:sz w:val="32"/>
      <w:szCs w:val="20"/>
    </w:rPr>
  </w:style>
  <w:style w:type="character" w:customStyle="1" w:styleId="7">
    <w:name w:val="标题 2 Char"/>
    <w:basedOn w:val="4"/>
    <w:link w:val="2"/>
    <w:semiHidden/>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8461B-D71D-4D84-B29F-7CED6D7459F5}">
  <ds:schemaRefs/>
</ds:datastoreItem>
</file>

<file path=docProps/app.xml><?xml version="1.0" encoding="utf-8"?>
<Properties xmlns="http://schemas.openxmlformats.org/officeDocument/2006/extended-properties" xmlns:vt="http://schemas.openxmlformats.org/officeDocument/2006/docPropsVTypes">
  <Template>Normal</Template>
  <Pages>3</Pages>
  <Words>209</Words>
  <Characters>1192</Characters>
  <Lines>9</Lines>
  <Paragraphs>2</Paragraphs>
  <TotalTime>1</TotalTime>
  <ScaleCrop>false</ScaleCrop>
  <LinksUpToDate>false</LinksUpToDate>
  <CharactersWithSpaces>1399</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2018-03-22T06:25:00Z</dcterms:created>
  <dc:creator>Administrator</dc:creator>
  <cp:lastModifiedBy>Administrator</cp:lastModifiedBy>
  <cp:lastPrinted>2019-08-27T02:19:58Z</cp:lastPrinted>
  <dcterms:modified xsi:type="dcterms:W3CDTF">2019-08-27T02:49:29Z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