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36"/>
          <w:szCs w:val="36"/>
        </w:rPr>
      </w:pPr>
      <w:bookmarkStart w:id="0" w:name="_GoBack"/>
      <w:r>
        <w:rPr>
          <w:rFonts w:hint="eastAsia" w:ascii="方正小标宋简体" w:eastAsia="方正小标宋简体"/>
          <w:color w:val="000000"/>
          <w:sz w:val="36"/>
          <w:szCs w:val="36"/>
          <w:lang w:eastAsia="zh-CN"/>
        </w:rPr>
        <w:t>永州市</w:t>
      </w:r>
      <w:r>
        <w:rPr>
          <w:rFonts w:hint="eastAsia" w:ascii="方正小标宋简体" w:eastAsia="方正小标宋简体"/>
          <w:color w:val="000000"/>
          <w:sz w:val="36"/>
          <w:szCs w:val="36"/>
        </w:rPr>
        <w:t>冷水滩区农经站</w:t>
      </w:r>
      <w:r>
        <w:rPr>
          <w:rFonts w:ascii="方正小标宋简体" w:eastAsia="方正小标宋简体"/>
          <w:color w:val="000000"/>
          <w:sz w:val="36"/>
          <w:szCs w:val="36"/>
        </w:rPr>
        <w:t>2018</w:t>
      </w:r>
      <w:r>
        <w:rPr>
          <w:rFonts w:hint="eastAsia" w:eastAsia="方正小标宋简体"/>
          <w:sz w:val="36"/>
          <w:szCs w:val="36"/>
        </w:rPr>
        <w:t>年度部门整体支出绩效</w:t>
      </w:r>
    </w:p>
    <w:p>
      <w:pPr>
        <w:jc w:val="center"/>
        <w:rPr>
          <w:rFonts w:ascii="宋体"/>
          <w:b/>
          <w:sz w:val="30"/>
          <w:szCs w:val="30"/>
        </w:rPr>
      </w:pPr>
      <w:r>
        <w:rPr>
          <w:rFonts w:hint="eastAsia" w:eastAsia="方正小标宋简体"/>
          <w:sz w:val="36"/>
          <w:szCs w:val="36"/>
        </w:rPr>
        <w:t>自评报告</w:t>
      </w:r>
    </w:p>
    <w:bookmarkEnd w:id="0"/>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一、部门概况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（一）部门基本情况。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出稳定和完善农村基本经营制度的政策建议；提出指导、扶持农民专业合作组织建设与发展的政策实施，开展服务与监督；指导村级集体经济发展和农村集体经济建设、资产财务管理和审计；宣传贯彻党和国家减轻农民负担示范、监测工作，协助涉及农民负担的重大案（事）件查处和信访处理。</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．机构情况。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冷水滩区农经站设三个股室：即办公室、农村经营服务指导股、农村产权交易流转中心。</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．人员编制情况：区农经站实有编制</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人，在职编制</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人（其中正科级编制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人，副科级编制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人，工勤人员编制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年的重点工作</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、完善农村土地“三权”分置制度</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省经管处处长、确权办主任周立华组织省市确权联席会领导一行莅临冷水滩调研，考察了我区农村土地确权登记颁证的数据接边入库、档案整理、纠纷仲裁、证书颁发等工作，详细了解了甄家冲村在首证颁发后撬动农村产权制度改革发展的成果，对我区确权工作给予了充分肯定和高度评价。全区已全面完成</w:t>
      </w:r>
      <w:r>
        <w:rPr>
          <w:rFonts w:ascii="仿宋_GB2312" w:hAnsi="仿宋_GB2312" w:eastAsia="仿宋_GB2312" w:cs="仿宋_GB2312"/>
          <w:sz w:val="32"/>
          <w:szCs w:val="32"/>
        </w:rPr>
        <w:t>197</w:t>
      </w:r>
      <w:r>
        <w:rPr>
          <w:rFonts w:hint="eastAsia" w:ascii="仿宋_GB2312" w:hAnsi="仿宋_GB2312" w:eastAsia="仿宋_GB2312" w:cs="仿宋_GB2312"/>
          <w:sz w:val="32"/>
          <w:szCs w:val="32"/>
        </w:rPr>
        <w:t>个行政村、</w:t>
      </w:r>
      <w:r>
        <w:rPr>
          <w:rFonts w:ascii="仿宋_GB2312" w:hAnsi="仿宋_GB2312" w:eastAsia="仿宋_GB2312" w:cs="仿宋_GB2312"/>
          <w:sz w:val="32"/>
          <w:szCs w:val="32"/>
        </w:rPr>
        <w:t>42.11</w:t>
      </w:r>
      <w:r>
        <w:rPr>
          <w:rFonts w:hint="eastAsia" w:ascii="仿宋_GB2312" w:hAnsi="仿宋_GB2312" w:eastAsia="仿宋_GB2312" w:cs="仿宋_GB2312"/>
          <w:sz w:val="32"/>
          <w:szCs w:val="32"/>
        </w:rPr>
        <w:t>万亩的农村土地确权登记工作任务，</w:t>
      </w:r>
      <w:r>
        <w:rPr>
          <w:rFonts w:ascii="仿宋_GB2312" w:hAnsi="仿宋_GB2312" w:eastAsia="仿宋_GB2312" w:cs="仿宋_GB2312"/>
          <w:sz w:val="32"/>
          <w:szCs w:val="32"/>
        </w:rPr>
        <w:t>7.24</w:t>
      </w:r>
      <w:r>
        <w:rPr>
          <w:rFonts w:hint="eastAsia" w:ascii="仿宋_GB2312" w:hAnsi="仿宋_GB2312" w:eastAsia="仿宋_GB2312" w:cs="仿宋_GB2312"/>
          <w:sz w:val="32"/>
          <w:szCs w:val="32"/>
        </w:rPr>
        <w:t>万农户签订了承包合同，颁发证书</w:t>
      </w:r>
      <w:r>
        <w:rPr>
          <w:rFonts w:ascii="仿宋_GB2312" w:hAnsi="仿宋_GB2312" w:eastAsia="仿宋_GB2312" w:cs="仿宋_GB2312"/>
          <w:sz w:val="32"/>
          <w:szCs w:val="32"/>
        </w:rPr>
        <w:t>7.24</w:t>
      </w:r>
      <w:r>
        <w:rPr>
          <w:rFonts w:hint="eastAsia" w:ascii="仿宋_GB2312" w:hAnsi="仿宋_GB2312" w:eastAsia="仿宋_GB2312" w:cs="仿宋_GB2312"/>
          <w:sz w:val="32"/>
          <w:szCs w:val="32"/>
        </w:rPr>
        <w:t>万本，基本完成了</w:t>
      </w:r>
      <w:r>
        <w:rPr>
          <w:rFonts w:ascii="仿宋_GB2312" w:hAnsi="仿宋_GB2312" w:eastAsia="仿宋_GB2312" w:cs="仿宋_GB2312"/>
          <w:sz w:val="32"/>
          <w:szCs w:val="32"/>
        </w:rPr>
        <w:t>173</w:t>
      </w:r>
      <w:r>
        <w:rPr>
          <w:rFonts w:hint="eastAsia" w:ascii="仿宋_GB2312" w:hAnsi="仿宋_GB2312" w:eastAsia="仿宋_GB2312" w:cs="仿宋_GB2312"/>
          <w:sz w:val="32"/>
          <w:szCs w:val="32"/>
        </w:rPr>
        <w:t>个行政村的纸质档案整理工作，数字化扫描也在有条不紊地开展。</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、农村集体产权制度改革工作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全区改革任务为</w:t>
      </w:r>
      <w:r>
        <w:rPr>
          <w:rFonts w:ascii="仿宋_GB2312" w:hAnsi="仿宋_GB2312" w:eastAsia="仿宋_GB2312" w:cs="仿宋_GB2312"/>
          <w:sz w:val="32"/>
          <w:szCs w:val="32"/>
        </w:rPr>
        <w:t>3385</w:t>
      </w:r>
      <w:r>
        <w:rPr>
          <w:rFonts w:hint="eastAsia" w:ascii="仿宋_GB2312" w:hAnsi="仿宋_GB2312" w:eastAsia="仿宋_GB2312" w:cs="仿宋_GB2312"/>
          <w:sz w:val="32"/>
          <w:szCs w:val="32"/>
        </w:rPr>
        <w:t>个单位（其中村（社区）改革任务</w:t>
      </w:r>
      <w:r>
        <w:rPr>
          <w:rFonts w:ascii="仿宋_GB2312" w:hAnsi="仿宋_GB2312" w:eastAsia="仿宋_GB2312" w:cs="仿宋_GB2312"/>
          <w:sz w:val="32"/>
          <w:szCs w:val="32"/>
        </w:rPr>
        <w:t>203</w:t>
      </w:r>
      <w:r>
        <w:rPr>
          <w:rFonts w:hint="eastAsia" w:ascii="仿宋_GB2312" w:hAnsi="仿宋_GB2312" w:eastAsia="仿宋_GB2312" w:cs="仿宋_GB2312"/>
          <w:sz w:val="32"/>
          <w:szCs w:val="32"/>
        </w:rPr>
        <w:t>个、组级改革任务</w:t>
      </w:r>
      <w:r>
        <w:rPr>
          <w:rFonts w:ascii="仿宋_GB2312" w:hAnsi="仿宋_GB2312" w:eastAsia="仿宋_GB2312" w:cs="仿宋_GB2312"/>
          <w:sz w:val="32"/>
          <w:szCs w:val="32"/>
        </w:rPr>
        <w:t>3182</w:t>
      </w:r>
      <w:r>
        <w:rPr>
          <w:rFonts w:hint="eastAsia" w:ascii="仿宋_GB2312" w:hAnsi="仿宋_GB2312" w:eastAsia="仿宋_GB2312" w:cs="仿宋_GB2312"/>
          <w:sz w:val="32"/>
          <w:szCs w:val="32"/>
        </w:rPr>
        <w:t>个）。清查账面资产总额</w:t>
      </w:r>
      <w:r>
        <w:rPr>
          <w:rFonts w:ascii="仿宋_GB2312" w:hAnsi="仿宋_GB2312" w:eastAsia="仿宋_GB2312" w:cs="仿宋_GB2312"/>
          <w:sz w:val="32"/>
          <w:szCs w:val="32"/>
        </w:rPr>
        <w:t>16452</w:t>
      </w:r>
      <w:r>
        <w:rPr>
          <w:rFonts w:hint="eastAsia" w:ascii="仿宋_GB2312" w:hAnsi="仿宋_GB2312" w:eastAsia="仿宋_GB2312" w:cs="仿宋_GB2312"/>
          <w:sz w:val="32"/>
          <w:szCs w:val="32"/>
        </w:rPr>
        <w:t>万元，其中经营性资产</w:t>
      </w:r>
      <w:r>
        <w:rPr>
          <w:rFonts w:ascii="仿宋_GB2312" w:hAnsi="仿宋_GB2312" w:eastAsia="仿宋_GB2312" w:cs="仿宋_GB2312"/>
          <w:sz w:val="32"/>
          <w:szCs w:val="32"/>
        </w:rPr>
        <w:t>5996</w:t>
      </w:r>
      <w:r>
        <w:rPr>
          <w:rFonts w:hint="eastAsia" w:ascii="仿宋_GB2312" w:hAnsi="仿宋_GB2312" w:eastAsia="仿宋_GB2312" w:cs="仿宋_GB2312"/>
          <w:sz w:val="32"/>
          <w:szCs w:val="32"/>
        </w:rPr>
        <w:t>万元，核实资产总额</w:t>
      </w:r>
      <w:r>
        <w:rPr>
          <w:rFonts w:ascii="仿宋_GB2312" w:hAnsi="仿宋_GB2312" w:eastAsia="仿宋_GB2312" w:cs="仿宋_GB2312"/>
          <w:sz w:val="32"/>
          <w:szCs w:val="32"/>
        </w:rPr>
        <w:t>115711.07</w:t>
      </w:r>
      <w:r>
        <w:rPr>
          <w:rFonts w:hint="eastAsia" w:ascii="仿宋_GB2312" w:hAnsi="仿宋_GB2312" w:eastAsia="仿宋_GB2312" w:cs="仿宋_GB2312"/>
          <w:sz w:val="32"/>
          <w:szCs w:val="32"/>
        </w:rPr>
        <w:t>万万元，其中经营性资产总额</w:t>
      </w:r>
      <w:r>
        <w:rPr>
          <w:rFonts w:ascii="仿宋_GB2312" w:hAnsi="仿宋_GB2312" w:eastAsia="仿宋_GB2312" w:cs="仿宋_GB2312"/>
          <w:sz w:val="32"/>
          <w:szCs w:val="32"/>
        </w:rPr>
        <w:t>19308</w:t>
      </w:r>
      <w:r>
        <w:rPr>
          <w:rFonts w:hint="eastAsia" w:ascii="仿宋_GB2312" w:hAnsi="仿宋_GB2312" w:eastAsia="仿宋_GB2312" w:cs="仿宋_GB2312"/>
          <w:sz w:val="32"/>
          <w:szCs w:val="32"/>
        </w:rPr>
        <w:t>万元，清查集体土地总面积</w:t>
      </w:r>
      <w:r>
        <w:rPr>
          <w:rFonts w:ascii="仿宋_GB2312" w:hAnsi="仿宋_GB2312" w:eastAsia="仿宋_GB2312" w:cs="仿宋_GB2312"/>
          <w:sz w:val="32"/>
          <w:szCs w:val="32"/>
        </w:rPr>
        <w:t>165.21</w:t>
      </w:r>
      <w:r>
        <w:rPr>
          <w:rFonts w:hint="eastAsia" w:ascii="仿宋_GB2312" w:hAnsi="仿宋_GB2312" w:eastAsia="仿宋_GB2312" w:cs="仿宋_GB2312"/>
          <w:sz w:val="32"/>
          <w:szCs w:val="32"/>
        </w:rPr>
        <w:t>万亩，其中农用地总面积</w:t>
      </w:r>
      <w:r>
        <w:rPr>
          <w:rFonts w:ascii="仿宋_GB2312" w:hAnsi="仿宋_GB2312" w:eastAsia="仿宋_GB2312" w:cs="仿宋_GB2312"/>
          <w:sz w:val="32"/>
          <w:szCs w:val="32"/>
        </w:rPr>
        <w:t>140.90</w:t>
      </w:r>
      <w:r>
        <w:rPr>
          <w:rFonts w:hint="eastAsia" w:ascii="仿宋_GB2312" w:hAnsi="仿宋_GB2312" w:eastAsia="仿宋_GB2312" w:cs="仿宋_GB2312"/>
          <w:sz w:val="32"/>
          <w:szCs w:val="32"/>
        </w:rPr>
        <w:t>万亩，基本完成清产核资工作。在试点村仁山村、牛角圩村已完成集体经济组织成员身份确认、经营性资产股份制改革等工作。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（三）部门整体支出情况</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年预算安排总支出</w:t>
      </w:r>
      <w:r>
        <w:rPr>
          <w:rFonts w:ascii="仿宋_GB2312" w:hAnsi="仿宋_GB2312" w:eastAsia="仿宋_GB2312" w:cs="仿宋_GB2312"/>
          <w:sz w:val="32"/>
          <w:szCs w:val="32"/>
        </w:rPr>
        <w:t>265.58</w:t>
      </w:r>
      <w:r>
        <w:rPr>
          <w:rFonts w:hint="eastAsia" w:ascii="仿宋_GB2312" w:hAnsi="仿宋_GB2312" w:eastAsia="仿宋_GB2312" w:cs="仿宋_GB2312"/>
          <w:sz w:val="32"/>
          <w:szCs w:val="32"/>
        </w:rPr>
        <w:t>万元，其中工资福利支出</w:t>
      </w:r>
      <w:r>
        <w:rPr>
          <w:rFonts w:ascii="仿宋_GB2312" w:hAnsi="仿宋_GB2312" w:eastAsia="仿宋_GB2312" w:cs="仿宋_GB2312"/>
          <w:sz w:val="32"/>
          <w:szCs w:val="32"/>
        </w:rPr>
        <w:t>70.76</w:t>
      </w:r>
      <w:r>
        <w:rPr>
          <w:rFonts w:hint="eastAsia" w:ascii="仿宋_GB2312" w:hAnsi="仿宋_GB2312" w:eastAsia="仿宋_GB2312" w:cs="仿宋_GB2312"/>
          <w:sz w:val="32"/>
          <w:szCs w:val="32"/>
        </w:rPr>
        <w:t>万元（其中包括住房公积金</w:t>
      </w:r>
      <w:r>
        <w:rPr>
          <w:rFonts w:ascii="仿宋_GB2312" w:hAnsi="仿宋_GB2312" w:eastAsia="仿宋_GB2312" w:cs="仿宋_GB2312"/>
          <w:sz w:val="32"/>
          <w:szCs w:val="32"/>
        </w:rPr>
        <w:t>5.579</w:t>
      </w:r>
      <w:r>
        <w:rPr>
          <w:rFonts w:hint="eastAsia" w:ascii="仿宋_GB2312" w:hAnsi="仿宋_GB2312" w:eastAsia="仿宋_GB2312" w:cs="仿宋_GB2312"/>
          <w:sz w:val="32"/>
          <w:szCs w:val="32"/>
        </w:rPr>
        <w:t>万元）一般商品和服务支出</w:t>
      </w:r>
      <w:r>
        <w:rPr>
          <w:rFonts w:ascii="仿宋_GB2312" w:hAnsi="仿宋_GB2312" w:eastAsia="仿宋_GB2312" w:cs="仿宋_GB2312"/>
          <w:sz w:val="32"/>
          <w:szCs w:val="32"/>
        </w:rPr>
        <w:t>194.8</w:t>
      </w:r>
      <w:r>
        <w:rPr>
          <w:rFonts w:hint="eastAsia" w:ascii="仿宋_GB2312" w:hAnsi="仿宋_GB2312" w:eastAsia="仿宋_GB2312" w:cs="仿宋_GB2312"/>
          <w:sz w:val="32"/>
          <w:szCs w:val="32"/>
        </w:rPr>
        <w:t>万元。</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二、部门整体支出管理及使用情况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（一）基本支出情况。</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年预算安排基本支出</w:t>
      </w:r>
      <w:r>
        <w:rPr>
          <w:rFonts w:ascii="仿宋_GB2312" w:hAnsi="仿宋_GB2312" w:eastAsia="仿宋_GB2312" w:cs="仿宋_GB2312"/>
          <w:sz w:val="32"/>
          <w:szCs w:val="32"/>
        </w:rPr>
        <w:t>265.58</w:t>
      </w:r>
      <w:r>
        <w:rPr>
          <w:rFonts w:hint="eastAsia" w:ascii="仿宋_GB2312" w:hAnsi="仿宋_GB2312" w:eastAsia="仿宋_GB2312" w:cs="仿宋_GB2312"/>
          <w:sz w:val="32"/>
          <w:szCs w:val="32"/>
        </w:rPr>
        <w:t>万元，其中其中工资福利支出</w:t>
      </w:r>
      <w:r>
        <w:rPr>
          <w:rFonts w:ascii="仿宋_GB2312" w:hAnsi="仿宋_GB2312" w:eastAsia="仿宋_GB2312" w:cs="仿宋_GB2312"/>
          <w:sz w:val="32"/>
          <w:szCs w:val="32"/>
        </w:rPr>
        <w:t>82.92</w:t>
      </w:r>
      <w:r>
        <w:rPr>
          <w:rFonts w:hint="eastAsia" w:ascii="仿宋_GB2312" w:hAnsi="仿宋_GB2312" w:eastAsia="仿宋_GB2312" w:cs="仿宋_GB2312"/>
          <w:sz w:val="32"/>
          <w:szCs w:val="32"/>
        </w:rPr>
        <w:t>万元（其中包括住房公积金</w:t>
      </w:r>
      <w:r>
        <w:rPr>
          <w:rFonts w:ascii="仿宋_GB2312" w:hAnsi="仿宋_GB2312" w:eastAsia="仿宋_GB2312" w:cs="仿宋_GB2312"/>
          <w:sz w:val="32"/>
          <w:szCs w:val="32"/>
        </w:rPr>
        <w:t>5.579</w:t>
      </w:r>
      <w:r>
        <w:rPr>
          <w:rFonts w:hint="eastAsia" w:ascii="仿宋_GB2312" w:hAnsi="仿宋_GB2312" w:eastAsia="仿宋_GB2312" w:cs="仿宋_GB2312"/>
          <w:sz w:val="32"/>
          <w:szCs w:val="32"/>
        </w:rPr>
        <w:t>万元）一般商品和服务支出</w:t>
      </w:r>
      <w:r>
        <w:rPr>
          <w:rFonts w:ascii="仿宋_GB2312" w:hAnsi="仿宋_GB2312" w:eastAsia="仿宋_GB2312" w:cs="仿宋_GB2312"/>
          <w:sz w:val="32"/>
          <w:szCs w:val="32"/>
        </w:rPr>
        <w:t>194.8</w:t>
      </w:r>
      <w:r>
        <w:rPr>
          <w:rFonts w:hint="eastAsia" w:ascii="仿宋_GB2312" w:hAnsi="仿宋_GB2312" w:eastAsia="仿宋_GB2312" w:cs="仿宋_GB2312"/>
          <w:sz w:val="32"/>
          <w:szCs w:val="32"/>
        </w:rPr>
        <w:t>万元。</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（二）项目支出情况。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（三）“三公”经费情况</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．因公出国（境）费用：无支出</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．公务接待费：</w:t>
      </w:r>
      <w:r>
        <w:rPr>
          <w:rFonts w:ascii="仿宋_GB2312" w:hAnsi="仿宋_GB2312" w:eastAsia="仿宋_GB2312" w:cs="仿宋_GB2312"/>
          <w:sz w:val="32"/>
          <w:szCs w:val="32"/>
        </w:rPr>
        <w:t>12165</w:t>
      </w:r>
      <w:r>
        <w:rPr>
          <w:rFonts w:hint="eastAsia" w:ascii="仿宋_GB2312" w:hAnsi="仿宋_GB2312" w:eastAsia="仿宋_GB2312" w:cs="仿宋_GB2312"/>
          <w:sz w:val="32"/>
          <w:szCs w:val="32"/>
        </w:rPr>
        <w:t>元</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．公务用车购置及运行费：单位无公车，无支出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三、部门整体支出绩效情况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做到在预算安排内保障单位职工工资福利发放，做到政务、程序、预决算公开，厉行节约，提高固定资产利用效率，提高办事效率，办事程序公开，办事实际操作性增强，加强专业性技术指导，减少纠纷矛盾发生。</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四、绩效自评得分情况及绩效等级。</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自评得分</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分、绩效等级：优</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五、存在的问题</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绩效管理基础薄弱</w:t>
      </w:r>
      <w:r>
        <w:rPr>
          <w:rFonts w:ascii="仿宋_GB2312" w:hAnsi="仿宋_GB2312" w:eastAsia="仿宋_GB2312" w:cs="仿宋_GB2312"/>
          <w:sz w:val="32"/>
          <w:szCs w:val="32"/>
        </w:rPr>
        <w:t> </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农经站为农业委二级单位，对绩效管理的重要性认识不足，没有经常研究绩效管理目标，执行工作时又由于缺乏压力，管理松懈，不能实现统一协调，这导致绩效管理工作职能通常流于形式，不能保证绩效考评的质量，工作的积级性、主动性发挥不够。</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绩效管理体系不完善</w:t>
      </w:r>
      <w:r>
        <w:rPr>
          <w:rFonts w:ascii="仿宋_GB2312" w:hAnsi="仿宋_GB2312" w:eastAsia="仿宋_GB2312" w:cs="仿宋_GB2312"/>
          <w:sz w:val="32"/>
          <w:szCs w:val="32"/>
        </w:rPr>
        <w:t> </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绩效管理有效运行必须以完善的绩效管理体系为平台，但是目前单位绩效管理并没有形成完备的系统，可操作性不强，考核过程中公平公正性、客观性难以得到保证，无法达到“奖优罚劣”的绩效管理目标。</w:t>
      </w:r>
      <w:r>
        <w:rPr>
          <w:rFonts w:ascii="仿宋_GB2312" w:hAnsi="仿宋_GB2312" w:eastAsia="仿宋_GB2312" w:cs="仿宋_GB2312"/>
          <w:sz w:val="32"/>
          <w:szCs w:val="32"/>
        </w:rPr>
        <w:t> </w:t>
      </w:r>
      <w:r>
        <w:rPr>
          <w:rFonts w:hint="eastAsia" w:ascii="仿宋_GB2312" w:hAnsi="仿宋_GB2312" w:eastAsia="仿宋_GB2312" w:cs="仿宋_GB2312"/>
          <w:sz w:val="32"/>
          <w:szCs w:val="32"/>
        </w:rPr>
        <w:t>　</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六、改进措施和有关建议</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深化对绩效管理工作的认识</w:t>
      </w:r>
      <w:r>
        <w:rPr>
          <w:rFonts w:ascii="仿宋_GB2312" w:hAnsi="仿宋_GB2312" w:eastAsia="仿宋_GB2312" w:cs="仿宋_GB2312"/>
          <w:sz w:val="32"/>
          <w:szCs w:val="32"/>
        </w:rPr>
        <w:t> </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绩效管理在单位管理中具有很重要的作用，应在单位内部加强宣传。主要领导应该做好表率作用，加强自身建设，提高管理能力，将绩效管理工作提到日常议事日程中，通过检查和督促，推动绩效管理工作的顺利开展。强化员干部职工竞争与风险意识，不断发挥干部职工工作积极性、创造性与能动性。只有在单位内部形成互动参与的良好局面，才能令绩效管理发挥作用，推动单位自身的改革与发展。</w:t>
      </w:r>
      <w:r>
        <w:rPr>
          <w:rFonts w:ascii="仿宋_GB2312" w:hAnsi="仿宋_GB2312" w:eastAsia="仿宋_GB2312" w:cs="仿宋_GB2312"/>
          <w:sz w:val="32"/>
          <w:szCs w:val="32"/>
        </w:rPr>
        <w:t> </w:t>
      </w:r>
      <w:r>
        <w:rPr>
          <w:rFonts w:ascii="仿宋_GB2312" w:hAnsi="仿宋_GB2312" w:eastAsia="仿宋_GB2312" w:cs="仿宋_GB2312"/>
          <w:sz w:val="32"/>
          <w:szCs w:val="32"/>
        </w:rPr>
        <w:br w:type="textWrapping"/>
      </w:r>
      <w:r>
        <w:rPr>
          <w:rFonts w:hint="eastAsia" w:ascii="宋体" w:hAnsi="宋体"/>
          <w:bCs/>
          <w:sz w:val="30"/>
          <w:szCs w:val="30"/>
        </w:rPr>
        <w:t>　</w:t>
      </w:r>
      <w:r>
        <w:rPr>
          <w:rFonts w:hint="eastAsia" w:ascii="仿宋_GB2312" w:hAnsi="仿宋_GB2312" w:eastAsia="仿宋_GB2312" w:cs="仿宋_GB2312"/>
          <w:sz w:val="32"/>
          <w:szCs w:val="32"/>
        </w:rPr>
        <w:t>　</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完善与健全绩效管理体系</w:t>
      </w:r>
      <w:r>
        <w:rPr>
          <w:rFonts w:ascii="仿宋_GB2312" w:hAnsi="仿宋_GB2312" w:eastAsia="仿宋_GB2312" w:cs="仿宋_GB2312"/>
          <w:sz w:val="32"/>
          <w:szCs w:val="32"/>
        </w:rPr>
        <w:t> </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合理有效的绩效管理能够优化岗位配置，实现人岗优化配置，职责明确，关键岗位重点考核，另一方面能实现“奖优惩劣”，奖励优秀员工，鞭策落后员工，增强竞争意识，切实培养干部职工的工作能力，提高事业单位整体工作绩效。</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重视反馈工作</w:t>
      </w:r>
      <w:r>
        <w:rPr>
          <w:rFonts w:ascii="仿宋_GB2312" w:hAnsi="仿宋_GB2312" w:eastAsia="仿宋_GB2312" w:cs="仿宋_GB2312"/>
          <w:sz w:val="32"/>
          <w:szCs w:val="32"/>
        </w:rPr>
        <w:t> </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绩效考核工作不应该止于得到考核结果，单位应该重视绩效考核结果的处理与反馈。要对考核结果进行分析，找出工作中的不足，提出建设性的综合意见，并加强反馈环节，以此来指导以后的工作。绩效考核的结果还应与有效的薪酬激励计划相联系，绩效结果应作为薪资调整、岗位调整的重要参考依据，这能让绩效管理真正具有动力与激励作用，提高干部职员和组织整体的效率与效益。</w:t>
      </w:r>
      <w:r>
        <w:rPr>
          <w:rFonts w:ascii="仿宋_GB2312" w:hAnsi="仿宋_GB2312" w:eastAsia="仿宋_GB2312" w:cs="仿宋_GB2312"/>
          <w:sz w:val="32"/>
          <w:szCs w:val="32"/>
        </w:rPr>
        <w:t> </w:t>
      </w:r>
    </w:p>
    <w:p>
      <w:pPr>
        <w:ind w:firstLine="600"/>
        <w:rPr>
          <w:rFonts w:ascii="宋体"/>
          <w:bCs/>
          <w:sz w:val="30"/>
          <w:szCs w:val="30"/>
        </w:rPr>
      </w:pPr>
    </w:p>
    <w:p>
      <w:pPr>
        <w:wordWrap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永州市冷水滩区农经站</w:t>
      </w:r>
      <w:r>
        <w:rPr>
          <w:rFonts w:ascii="仿宋_GB2312" w:hAnsi="仿宋_GB2312" w:eastAsia="仿宋_GB2312" w:cs="仿宋_GB2312"/>
          <w:sz w:val="32"/>
          <w:szCs w:val="32"/>
        </w:rPr>
        <w:t xml:space="preserve">  </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日</w:t>
      </w:r>
    </w:p>
    <w:p>
      <w:pPr>
        <w:ind w:firstLine="600"/>
        <w:rPr>
          <w:rFonts w:ascii="宋体"/>
          <w:bCs/>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4BE"/>
    <w:rsid w:val="002168C2"/>
    <w:rsid w:val="00370792"/>
    <w:rsid w:val="008C54BE"/>
    <w:rsid w:val="00D03D22"/>
    <w:rsid w:val="00F17925"/>
    <w:rsid w:val="06854564"/>
    <w:rsid w:val="07A55C62"/>
    <w:rsid w:val="085C3C6F"/>
    <w:rsid w:val="0A9F58EF"/>
    <w:rsid w:val="0AA710B5"/>
    <w:rsid w:val="161F317E"/>
    <w:rsid w:val="287C1675"/>
    <w:rsid w:val="3B0E3B3F"/>
    <w:rsid w:val="4A8B4924"/>
    <w:rsid w:val="4C966FF3"/>
    <w:rsid w:val="53A21542"/>
    <w:rsid w:val="549A7F76"/>
    <w:rsid w:val="61763924"/>
    <w:rsid w:val="644F5419"/>
    <w:rsid w:val="647B3174"/>
    <w:rsid w:val="65D92C48"/>
    <w:rsid w:val="6D6F7B08"/>
    <w:rsid w:val="6E452F26"/>
    <w:rsid w:val="6E54070C"/>
    <w:rsid w:val="6EAA681E"/>
    <w:rsid w:val="741F39F0"/>
    <w:rsid w:val="77004E51"/>
    <w:rsid w:val="7B371F0C"/>
    <w:rsid w:val="7B693E71"/>
    <w:rsid w:val="7D7E29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Footer Char"/>
    <w:basedOn w:val="6"/>
    <w:link w:val="2"/>
    <w:semiHidden/>
    <w:uiPriority w:val="99"/>
    <w:rPr>
      <w:rFonts w:cs="Calibri"/>
      <w:sz w:val="18"/>
      <w:szCs w:val="18"/>
    </w:rPr>
  </w:style>
  <w:style w:type="character" w:customStyle="1" w:styleId="8">
    <w:name w:val="Header Char"/>
    <w:basedOn w:val="6"/>
    <w:link w:val="3"/>
    <w:semiHidden/>
    <w:uiPriority w:val="99"/>
    <w:rPr>
      <w:rFonts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296</Words>
  <Characters>1691</Characters>
  <Lines>0</Lines>
  <Paragraphs>0</Paragraphs>
  <TotalTime>36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2019-02-21T03:46:00Z</cp:lastPrinted>
  <dcterms:modified xsi:type="dcterms:W3CDTF">2021-06-04T15:25:41Z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F3F12265A5294C759565E90A6D68CE96</vt:lpwstr>
  </property>
</Properties>
</file>