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szCs w:val="32"/>
        </w:rPr>
        <w:t>：</w:t>
      </w:r>
      <w:r>
        <w:rPr>
          <w:rFonts w:eastAsia="仿宋_GB2312"/>
          <w:sz w:val="32"/>
          <w:szCs w:val="32"/>
        </w:rPr>
        <w:tab/>
      </w:r>
    </w:p>
    <w:p>
      <w:pPr>
        <w:spacing w:line="620" w:lineRule="exact"/>
        <w:jc w:val="center"/>
        <w:rPr>
          <w:rFonts w:ascii="方正小标宋简体" w:eastAsia="方正小标宋简体"/>
          <w:color w:val="000000"/>
          <w:kern w:val="0"/>
          <w:sz w:val="36"/>
          <w:szCs w:val="36"/>
        </w:rPr>
      </w:pPr>
      <w:r>
        <w:rPr>
          <w:rFonts w:ascii="方正小标宋简体" w:eastAsia="方正小标宋简体"/>
          <w:color w:val="000000"/>
          <w:kern w:val="0"/>
          <w:sz w:val="36"/>
          <w:szCs w:val="36"/>
        </w:rPr>
        <w:t>2018</w:t>
      </w:r>
      <w:r>
        <w:rPr>
          <w:rFonts w:hint="eastAsia" w:ascii="方正小标宋简体" w:eastAsia="方正小标宋简体"/>
          <w:color w:val="000000"/>
          <w:kern w:val="0"/>
          <w:sz w:val="36"/>
          <w:szCs w:val="36"/>
        </w:rPr>
        <w:t>年度专项（项目）资金绩效自评报告</w:t>
      </w:r>
    </w:p>
    <w:p>
      <w:pPr>
        <w:spacing w:line="620" w:lineRule="exact"/>
        <w:jc w:val="center"/>
        <w:rPr>
          <w:rFonts w:ascii="楷体_GB2312" w:eastAsia="楷体_GB2312"/>
          <w:b/>
          <w:color w:val="000000"/>
          <w:kern w:val="0"/>
          <w:sz w:val="32"/>
          <w:szCs w:val="32"/>
        </w:rPr>
      </w:pPr>
      <w:r>
        <w:rPr>
          <w:rFonts w:hint="eastAsia" w:ascii="楷体_GB2312" w:eastAsia="楷体_GB2312"/>
          <w:b/>
          <w:color w:val="000000"/>
          <w:kern w:val="0"/>
          <w:sz w:val="32"/>
          <w:szCs w:val="32"/>
        </w:rPr>
        <w:t>（冷水滩区环保局）</w:t>
      </w:r>
    </w:p>
    <w:p>
      <w:pPr>
        <w:spacing w:line="620" w:lineRule="exact"/>
        <w:ind w:firstLine="640" w:firstLineChars="200"/>
        <w:rPr>
          <w:rFonts w:ascii="黑体" w:eastAsia="黑体"/>
          <w:color w:val="000000"/>
          <w:kern w:val="0"/>
          <w:sz w:val="32"/>
          <w:szCs w:val="32"/>
        </w:rPr>
      </w:pPr>
      <w:r>
        <w:rPr>
          <w:rFonts w:hint="eastAsia" w:ascii="黑体" w:eastAsia="黑体"/>
          <w:color w:val="000000"/>
          <w:kern w:val="0"/>
          <w:sz w:val="32"/>
          <w:szCs w:val="32"/>
        </w:rPr>
        <w:t>一、项目单位概况</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、我局为正科级行政单位，局机关内设办公室、环境管理股、法制规划股；下设冷水滩区环境监测站和冷水滩区环境监察大队两个副科级事业单位。</w:t>
      </w:r>
    </w:p>
    <w:p>
      <w:pPr>
        <w:spacing w:line="620" w:lineRule="exact"/>
        <w:ind w:firstLine="560" w:firstLineChars="200"/>
        <w:rPr>
          <w:rFonts w:hint="default" w:ascii="宋体" w:hAnsi="宋体" w:eastAsia="宋体"/>
          <w:sz w:val="28"/>
          <w:szCs w:val="28"/>
          <w:lang w:val="en-US" w:eastAsia="zh-CN"/>
        </w:rPr>
      </w:pPr>
      <w:r>
        <w:rPr>
          <w:rFonts w:ascii="宋体" w:hAnsi="宋体"/>
          <w:sz w:val="28"/>
          <w:szCs w:val="28"/>
        </w:rPr>
        <w:t>2</w:t>
      </w:r>
      <w:r>
        <w:rPr>
          <w:rFonts w:hint="eastAsia" w:ascii="宋体" w:hAnsi="宋体"/>
          <w:sz w:val="28"/>
          <w:szCs w:val="28"/>
        </w:rPr>
        <w:t>、人员编制情况：局机关编制</w:t>
      </w:r>
      <w:r>
        <w:rPr>
          <w:rFonts w:ascii="宋体" w:hAnsi="宋体"/>
          <w:sz w:val="28"/>
          <w:szCs w:val="28"/>
        </w:rPr>
        <w:t>17</w:t>
      </w:r>
      <w:r>
        <w:rPr>
          <w:rFonts w:hint="eastAsia" w:ascii="宋体" w:hAnsi="宋体"/>
          <w:sz w:val="28"/>
          <w:szCs w:val="28"/>
        </w:rPr>
        <w:t>人，实有人数</w:t>
      </w:r>
      <w:r>
        <w:rPr>
          <w:rFonts w:ascii="宋体" w:hAnsi="宋体"/>
          <w:sz w:val="28"/>
          <w:szCs w:val="28"/>
        </w:rPr>
        <w:t>17</w:t>
      </w:r>
      <w:r>
        <w:rPr>
          <w:rFonts w:hint="eastAsia" w:ascii="宋体" w:hAnsi="宋体"/>
          <w:sz w:val="28"/>
          <w:szCs w:val="28"/>
        </w:rPr>
        <w:t>人，环境监察大队编制</w:t>
      </w:r>
      <w:r>
        <w:rPr>
          <w:rFonts w:hint="eastAsia" w:ascii="宋体" w:hAnsi="宋体"/>
          <w:sz w:val="28"/>
          <w:szCs w:val="28"/>
          <w:lang w:val="en-US" w:eastAsia="zh-CN"/>
        </w:rPr>
        <w:t>34</w:t>
      </w:r>
      <w:r>
        <w:rPr>
          <w:rFonts w:hint="eastAsia" w:ascii="宋体" w:hAnsi="宋体"/>
          <w:sz w:val="28"/>
          <w:szCs w:val="28"/>
        </w:rPr>
        <w:t>人，实有人数</w:t>
      </w:r>
      <w:r>
        <w:rPr>
          <w:rFonts w:hint="eastAsia" w:ascii="宋体" w:hAnsi="宋体"/>
          <w:sz w:val="28"/>
          <w:szCs w:val="28"/>
          <w:lang w:val="en-US" w:eastAsia="zh-CN"/>
        </w:rPr>
        <w:t>34</w:t>
      </w:r>
      <w:r>
        <w:rPr>
          <w:rFonts w:hint="eastAsia" w:ascii="宋体" w:hAnsi="宋体"/>
          <w:sz w:val="28"/>
          <w:szCs w:val="28"/>
        </w:rPr>
        <w:t>人，监测站编制</w:t>
      </w:r>
      <w:r>
        <w:rPr>
          <w:rFonts w:hint="eastAsia" w:ascii="宋体" w:hAnsi="宋体"/>
          <w:sz w:val="28"/>
          <w:szCs w:val="28"/>
          <w:lang w:val="en-US" w:eastAsia="zh-CN"/>
        </w:rPr>
        <w:t>28</w:t>
      </w:r>
      <w:r>
        <w:rPr>
          <w:rFonts w:hint="eastAsia" w:ascii="宋体" w:hAnsi="宋体"/>
          <w:sz w:val="28"/>
          <w:szCs w:val="28"/>
        </w:rPr>
        <w:t>人，实有人数</w:t>
      </w:r>
      <w:r>
        <w:rPr>
          <w:rFonts w:hint="eastAsia" w:ascii="宋体" w:hAnsi="宋体"/>
          <w:sz w:val="28"/>
          <w:szCs w:val="28"/>
          <w:lang w:val="en-US" w:eastAsia="zh-CN"/>
        </w:rPr>
        <w:t>28</w:t>
      </w:r>
    </w:p>
    <w:p>
      <w:pPr>
        <w:spacing w:line="620" w:lineRule="exact"/>
        <w:ind w:firstLine="640" w:firstLineChars="200"/>
        <w:rPr>
          <w:rFonts w:ascii="黑体" w:eastAsia="黑体"/>
          <w:color w:val="000000"/>
          <w:kern w:val="0"/>
          <w:sz w:val="32"/>
          <w:szCs w:val="32"/>
        </w:rPr>
      </w:pPr>
      <w:r>
        <w:rPr>
          <w:rFonts w:hint="eastAsia" w:ascii="黑体" w:eastAsia="黑体"/>
          <w:color w:val="000000"/>
          <w:kern w:val="0"/>
          <w:sz w:val="32"/>
          <w:szCs w:val="32"/>
        </w:rPr>
        <w:t>二、项目资金分配使用及管理情况。</w:t>
      </w:r>
    </w:p>
    <w:p>
      <w:pPr>
        <w:pStyle w:val="4"/>
        <w:spacing w:beforeAutospacing="0" w:afterAutospacing="0"/>
        <w:ind w:firstLine="615" w:firstLineChars="205"/>
        <w:rPr>
          <w:sz w:val="30"/>
          <w:szCs w:val="30"/>
        </w:rPr>
      </w:pPr>
      <w:r>
        <w:rPr>
          <w:rFonts w:hint="eastAsia"/>
          <w:sz w:val="30"/>
          <w:szCs w:val="30"/>
        </w:rPr>
        <w:t>年初预算安排环境监测工作经费</w:t>
      </w:r>
      <w:r>
        <w:rPr>
          <w:sz w:val="30"/>
          <w:szCs w:val="30"/>
        </w:rPr>
        <w:t>100</w:t>
      </w:r>
      <w:r>
        <w:rPr>
          <w:rFonts w:hint="eastAsia"/>
          <w:sz w:val="30"/>
          <w:szCs w:val="30"/>
        </w:rPr>
        <w:t>万、环境监测考核工作经费</w:t>
      </w:r>
      <w:r>
        <w:rPr>
          <w:sz w:val="30"/>
          <w:szCs w:val="30"/>
        </w:rPr>
        <w:t>20</w:t>
      </w:r>
      <w:r>
        <w:rPr>
          <w:rFonts w:hint="eastAsia"/>
          <w:sz w:val="30"/>
          <w:szCs w:val="30"/>
        </w:rPr>
        <w:t>万、农村环境综合整治与保护及生活污水处理专项经费</w:t>
      </w:r>
      <w:r>
        <w:rPr>
          <w:sz w:val="30"/>
          <w:szCs w:val="30"/>
        </w:rPr>
        <w:t>980</w:t>
      </w:r>
      <w:r>
        <w:rPr>
          <w:rFonts w:hint="eastAsia"/>
          <w:sz w:val="30"/>
          <w:szCs w:val="30"/>
        </w:rPr>
        <w:t>万，生态环境监测经费</w:t>
      </w:r>
      <w:r>
        <w:rPr>
          <w:sz w:val="30"/>
          <w:szCs w:val="30"/>
        </w:rPr>
        <w:t>(</w:t>
      </w:r>
      <w:r>
        <w:rPr>
          <w:rFonts w:hint="eastAsia"/>
          <w:sz w:val="30"/>
          <w:szCs w:val="30"/>
        </w:rPr>
        <w:t>环行</w:t>
      </w:r>
      <w:r>
        <w:rPr>
          <w:sz w:val="30"/>
          <w:szCs w:val="30"/>
        </w:rPr>
        <w:t>)4.75</w:t>
      </w:r>
      <w:r>
        <w:rPr>
          <w:rFonts w:hint="eastAsia"/>
          <w:sz w:val="30"/>
          <w:szCs w:val="30"/>
        </w:rPr>
        <w:t>万。及时按进度采</w:t>
      </w:r>
      <w:bookmarkStart w:id="0" w:name="_GoBack"/>
      <w:bookmarkEnd w:id="0"/>
      <w:r>
        <w:rPr>
          <w:rFonts w:hint="eastAsia"/>
          <w:sz w:val="30"/>
          <w:szCs w:val="30"/>
        </w:rPr>
        <w:t>用财政直接支付和授权支付方式结算。</w:t>
      </w:r>
    </w:p>
    <w:p>
      <w:pPr>
        <w:spacing w:line="620" w:lineRule="exact"/>
        <w:ind w:firstLine="640" w:firstLineChars="200"/>
        <w:rPr>
          <w:rFonts w:ascii="黑体" w:eastAsia="黑体"/>
          <w:color w:val="000000"/>
          <w:kern w:val="0"/>
          <w:sz w:val="32"/>
          <w:szCs w:val="32"/>
        </w:rPr>
      </w:pPr>
      <w:r>
        <w:rPr>
          <w:rFonts w:hint="eastAsia" w:ascii="黑体" w:eastAsia="黑体"/>
          <w:color w:val="000000"/>
          <w:kern w:val="0"/>
          <w:sz w:val="32"/>
          <w:szCs w:val="32"/>
        </w:rPr>
        <w:t>三、项目组织实施情况</w:t>
      </w:r>
    </w:p>
    <w:p>
      <w:pPr>
        <w:spacing w:line="620" w:lineRule="exact"/>
        <w:ind w:firstLine="640" w:firstLineChars="200"/>
        <w:rPr>
          <w:rFonts w:ascii="黑体" w:eastAsia="黑体"/>
          <w:color w:val="000000"/>
          <w:kern w:val="0"/>
          <w:sz w:val="32"/>
          <w:szCs w:val="32"/>
        </w:rPr>
      </w:pPr>
      <w:r>
        <w:rPr>
          <w:rFonts w:hint="eastAsia" w:ascii="仿宋_GB2312" w:hAnsi="仿宋" w:eastAsia="仿宋_GB2312"/>
          <w:sz w:val="32"/>
          <w:szCs w:val="32"/>
        </w:rPr>
        <w:t>按照财政预算评审及公开招投标程序，安排专人负责各项目，保证项目保质保量按期完成。</w:t>
      </w:r>
    </w:p>
    <w:p>
      <w:pPr>
        <w:spacing w:line="620" w:lineRule="exact"/>
        <w:ind w:firstLine="640" w:firstLineChars="200"/>
        <w:rPr>
          <w:rFonts w:ascii="黑体" w:eastAsia="黑体"/>
          <w:color w:val="000000"/>
          <w:kern w:val="0"/>
          <w:sz w:val="32"/>
          <w:szCs w:val="32"/>
        </w:rPr>
      </w:pPr>
      <w:r>
        <w:rPr>
          <w:rFonts w:hint="eastAsia" w:ascii="黑体" w:eastAsia="黑体"/>
          <w:color w:val="000000"/>
          <w:kern w:val="0"/>
          <w:sz w:val="32"/>
          <w:szCs w:val="32"/>
        </w:rPr>
        <w:t>四、项目绩效指标完成情况</w:t>
      </w:r>
    </w:p>
    <w:p>
      <w:pPr>
        <w:spacing w:line="620" w:lineRule="exact"/>
        <w:ind w:firstLine="640" w:firstLineChars="200"/>
        <w:rPr>
          <w:rFonts w:ascii="黑体" w:eastAsia="黑体"/>
          <w:color w:val="000000"/>
          <w:kern w:val="0"/>
          <w:sz w:val="32"/>
          <w:szCs w:val="32"/>
        </w:rPr>
      </w:pPr>
      <w:r>
        <w:rPr>
          <w:rFonts w:hint="eastAsia" w:ascii="黑体" w:eastAsia="黑体"/>
          <w:color w:val="000000"/>
          <w:kern w:val="0"/>
          <w:sz w:val="32"/>
          <w:szCs w:val="32"/>
        </w:rPr>
        <w:t>我区共建设集中式生活污水处理设施</w:t>
      </w:r>
      <w:r>
        <w:rPr>
          <w:rFonts w:ascii="黑体" w:eastAsia="黑体"/>
          <w:color w:val="000000"/>
          <w:kern w:val="0"/>
          <w:sz w:val="32"/>
          <w:szCs w:val="32"/>
        </w:rPr>
        <w:t>104</w:t>
      </w:r>
      <w:r>
        <w:rPr>
          <w:rFonts w:hint="eastAsia" w:ascii="黑体" w:eastAsia="黑体"/>
          <w:color w:val="000000"/>
          <w:kern w:val="0"/>
          <w:sz w:val="32"/>
          <w:szCs w:val="32"/>
        </w:rPr>
        <w:t>座，分散式生活污水处理设施</w:t>
      </w:r>
      <w:r>
        <w:rPr>
          <w:rFonts w:ascii="黑体" w:eastAsia="黑体"/>
          <w:color w:val="000000"/>
          <w:kern w:val="0"/>
          <w:sz w:val="32"/>
          <w:szCs w:val="32"/>
        </w:rPr>
        <w:t>498</w:t>
      </w:r>
      <w:r>
        <w:rPr>
          <w:rFonts w:hint="eastAsia" w:ascii="黑体" w:eastAsia="黑体"/>
          <w:color w:val="000000"/>
          <w:kern w:val="0"/>
          <w:sz w:val="32"/>
          <w:szCs w:val="32"/>
        </w:rPr>
        <w:t>处。委托第三方公司开展了辖区内四家重点国控污染源企业的监测工作，每个季度监测一次，全年四次。按照考核要求完成了县区的监测任务，考核的结果作为我区的生态转移支付资金增减的依据。</w:t>
      </w:r>
    </w:p>
    <w:p>
      <w:pPr>
        <w:spacing w:line="620" w:lineRule="exact"/>
        <w:ind w:firstLine="640" w:firstLineChars="200"/>
        <w:rPr>
          <w:rFonts w:ascii="黑体" w:eastAsia="黑体"/>
          <w:color w:val="000000"/>
          <w:kern w:val="0"/>
          <w:sz w:val="32"/>
          <w:szCs w:val="32"/>
        </w:rPr>
      </w:pPr>
    </w:p>
    <w:p>
      <w:pPr>
        <w:spacing w:line="540" w:lineRule="exact"/>
        <w:rPr>
          <w:rFonts w:ascii="黑体" w:hAnsi="黑体" w:eastAsia="黑体" w:cs="黑体"/>
          <w:b/>
          <w:bCs/>
          <w:sz w:val="32"/>
          <w:szCs w:val="32"/>
        </w:rPr>
      </w:pPr>
      <w:r>
        <w:rPr>
          <w:rFonts w:hint="eastAsia" w:ascii="黑体" w:hAnsi="黑体" w:eastAsia="黑体" w:cs="黑体"/>
          <w:b/>
          <w:bCs/>
          <w:color w:val="000000"/>
          <w:kern w:val="0"/>
          <w:sz w:val="32"/>
          <w:szCs w:val="32"/>
        </w:rPr>
        <w:t>五、</w:t>
      </w:r>
      <w:r>
        <w:rPr>
          <w:rFonts w:hint="eastAsia" w:ascii="黑体" w:hAnsi="黑体" w:eastAsia="黑体" w:cs="黑体"/>
          <w:b/>
          <w:bCs/>
          <w:sz w:val="32"/>
          <w:szCs w:val="32"/>
        </w:rPr>
        <w:t>绩效目标未完成原因和下一步改进措施</w:t>
      </w:r>
    </w:p>
    <w:p>
      <w:pPr>
        <w:spacing w:line="540" w:lineRule="exact"/>
        <w:ind w:firstLine="1200" w:firstLineChars="400"/>
        <w:rPr>
          <w:rFonts w:ascii="宋体"/>
          <w:sz w:val="30"/>
          <w:szCs w:val="30"/>
        </w:rPr>
      </w:pPr>
      <w:r>
        <w:rPr>
          <w:rFonts w:hint="eastAsia" w:ascii="宋体" w:hAnsi="宋体"/>
          <w:sz w:val="30"/>
          <w:szCs w:val="30"/>
        </w:rPr>
        <w:t>本单位完成了</w:t>
      </w:r>
      <w:r>
        <w:rPr>
          <w:rFonts w:ascii="宋体" w:hAnsi="宋体"/>
          <w:sz w:val="30"/>
          <w:szCs w:val="30"/>
        </w:rPr>
        <w:t>2018</w:t>
      </w:r>
      <w:r>
        <w:rPr>
          <w:rFonts w:hint="eastAsia" w:ascii="宋体" w:hAnsi="宋体"/>
          <w:sz w:val="30"/>
          <w:szCs w:val="30"/>
        </w:rPr>
        <w:t>年绩效目标。</w:t>
      </w:r>
    </w:p>
    <w:p>
      <w:pPr>
        <w:spacing w:line="540" w:lineRule="exact"/>
        <w:rPr>
          <w:rFonts w:ascii="黑体" w:hAnsi="黑体" w:eastAsia="黑体" w:cs="黑体"/>
          <w:b/>
          <w:bCs/>
          <w:sz w:val="32"/>
          <w:szCs w:val="32"/>
        </w:rPr>
      </w:pPr>
      <w:r>
        <w:rPr>
          <w:rFonts w:hint="eastAsia" w:ascii="黑体" w:hAnsi="黑体" w:eastAsia="黑体" w:cs="黑体"/>
          <w:b/>
          <w:bCs/>
          <w:sz w:val="32"/>
          <w:szCs w:val="32"/>
        </w:rPr>
        <w:t>六、绩效自评得分等级结果及拟应用和公开情况</w:t>
      </w:r>
    </w:p>
    <w:p>
      <w:pPr>
        <w:ind w:firstLine="300" w:firstLineChars="100"/>
        <w:rPr>
          <w:rFonts w:ascii="宋体"/>
          <w:sz w:val="30"/>
          <w:szCs w:val="30"/>
        </w:rPr>
      </w:pPr>
      <w:r>
        <w:rPr>
          <w:rFonts w:hint="eastAsia" w:ascii="宋体" w:hAnsi="宋体"/>
          <w:sz w:val="30"/>
          <w:szCs w:val="30"/>
        </w:rPr>
        <w:t>本单位</w:t>
      </w:r>
      <w:r>
        <w:rPr>
          <w:rFonts w:ascii="宋体" w:hAnsi="宋体"/>
          <w:sz w:val="30"/>
          <w:szCs w:val="30"/>
        </w:rPr>
        <w:t>2018</w:t>
      </w:r>
      <w:r>
        <w:rPr>
          <w:rFonts w:hint="eastAsia" w:ascii="宋体" w:hAnsi="宋体"/>
          <w:sz w:val="30"/>
          <w:szCs w:val="30"/>
        </w:rPr>
        <w:t>年整体支出绩效自评得分</w:t>
      </w:r>
      <w:r>
        <w:rPr>
          <w:rFonts w:ascii="宋体" w:hAnsi="宋体"/>
          <w:sz w:val="30"/>
          <w:szCs w:val="30"/>
        </w:rPr>
        <w:t>93</w:t>
      </w:r>
      <w:r>
        <w:rPr>
          <w:rFonts w:hint="eastAsia" w:ascii="宋体" w:hAnsi="宋体"/>
          <w:sz w:val="30"/>
          <w:szCs w:val="30"/>
        </w:rPr>
        <w:t>分，绩效等级为优。</w:t>
      </w:r>
    </w:p>
    <w:p>
      <w:pPr>
        <w:spacing w:line="540" w:lineRule="exact"/>
        <w:ind w:firstLine="640" w:firstLineChars="200"/>
        <w:rPr>
          <w:rFonts w:ascii="黑体" w:hAnsi="黑体" w:eastAsia="黑体" w:cs="黑体"/>
          <w:bCs/>
          <w:sz w:val="32"/>
          <w:szCs w:val="32"/>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spacing w:line="560" w:lineRule="exact"/>
        <w:rPr>
          <w:kern w:val="0"/>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附件</w:t>
      </w:r>
      <w:r>
        <w:rPr>
          <w:rFonts w:ascii="仿宋_GB2312" w:hAnsi="仿宋_GB2312" w:eastAsia="仿宋_GB2312" w:cs="仿宋_GB2312"/>
          <w:bCs/>
          <w:kern w:val="0"/>
          <w:sz w:val="32"/>
          <w:szCs w:val="32"/>
        </w:rPr>
        <w:t>2</w:t>
      </w:r>
    </w:p>
    <w:p>
      <w:pPr>
        <w:widowControl/>
        <w:ind w:left="93"/>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36"/>
          <w:szCs w:val="36"/>
        </w:rPr>
        <w:t>2018</w:t>
      </w:r>
      <w:r>
        <w:rPr>
          <w:rFonts w:hint="eastAsia" w:ascii="方正小标宋简体" w:hAnsi="方正小标宋简体" w:eastAsia="方正小标宋简体" w:cs="方正小标宋简体"/>
          <w:kern w:val="0"/>
          <w:sz w:val="36"/>
          <w:szCs w:val="36"/>
        </w:rPr>
        <w:t>年度财政专项（项目）资金绩效评价表</w:t>
      </w:r>
    </w:p>
    <w:p>
      <w:pPr>
        <w:widowControl/>
        <w:ind w:left="93"/>
        <w:jc w:val="center"/>
        <w:rPr>
          <w:rFonts w:ascii="方正小标宋简体" w:hAnsi="方正小标宋简体" w:eastAsia="方正小标宋简体" w:cs="方正小标宋简体"/>
          <w:kern w:val="0"/>
          <w:sz w:val="36"/>
          <w:szCs w:val="36"/>
        </w:rPr>
      </w:pPr>
    </w:p>
    <w:tbl>
      <w:tblPr>
        <w:tblStyle w:val="5"/>
        <w:tblW w:w="10608" w:type="dxa"/>
        <w:jc w:val="center"/>
        <w:tblInd w:w="-729" w:type="dxa"/>
        <w:tblLayout w:type="fixed"/>
        <w:tblCellMar>
          <w:top w:w="0" w:type="dxa"/>
          <w:left w:w="108" w:type="dxa"/>
          <w:bottom w:w="0" w:type="dxa"/>
          <w:right w:w="108" w:type="dxa"/>
        </w:tblCellMar>
      </w:tblPr>
      <w:tblGrid>
        <w:gridCol w:w="656"/>
        <w:gridCol w:w="710"/>
        <w:gridCol w:w="1275"/>
        <w:gridCol w:w="3080"/>
        <w:gridCol w:w="4203"/>
        <w:gridCol w:w="684"/>
      </w:tblGrid>
      <w:tr>
        <w:tblPrEx>
          <w:tblLayout w:type="fixed"/>
          <w:tblCellMar>
            <w:top w:w="0" w:type="dxa"/>
            <w:left w:w="108" w:type="dxa"/>
            <w:bottom w:w="0" w:type="dxa"/>
            <w:right w:w="108" w:type="dxa"/>
          </w:tblCellMar>
        </w:tblPrEx>
        <w:trPr>
          <w:tblHeade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二级</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三级指标</w:t>
            </w:r>
          </w:p>
        </w:tc>
        <w:tc>
          <w:tcPr>
            <w:tcW w:w="30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指标解释</w:t>
            </w:r>
          </w:p>
        </w:tc>
        <w:tc>
          <w:tcPr>
            <w:tcW w:w="420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指标说明</w:t>
            </w:r>
          </w:p>
        </w:tc>
        <w:tc>
          <w:tcPr>
            <w:tcW w:w="684" w:type="dxa"/>
            <w:vMerge w:val="restart"/>
            <w:tcBorders>
              <w:top w:val="single" w:color="auto" w:sz="4" w:space="0"/>
              <w:left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得分</w:t>
            </w:r>
          </w:p>
        </w:tc>
      </w:tr>
      <w:tr>
        <w:tblPrEx>
          <w:tblLayout w:type="fixed"/>
          <w:tblCellMar>
            <w:top w:w="0" w:type="dxa"/>
            <w:left w:w="108" w:type="dxa"/>
            <w:bottom w:w="0" w:type="dxa"/>
            <w:right w:w="108" w:type="dxa"/>
          </w:tblCellMar>
        </w:tblPrEx>
        <w:trPr>
          <w:trHeight w:val="391" w:hRule="atLeast"/>
          <w:tblHeader/>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420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684" w:type="dxa"/>
            <w:vMerge w:val="continue"/>
            <w:tcBorders>
              <w:left w:val="single" w:color="auto" w:sz="4" w:space="0"/>
              <w:bottom w:val="single" w:color="000000" w:sz="4" w:space="0"/>
              <w:right w:val="single" w:color="auto" w:sz="4" w:space="0"/>
            </w:tcBorders>
          </w:tcPr>
          <w:p>
            <w:pPr>
              <w:widowControl/>
              <w:jc w:val="left"/>
              <w:rPr>
                <w:rFonts w:eastAsia="仿宋_GB2312"/>
                <w:b/>
                <w:bCs/>
                <w:color w:val="000000"/>
                <w:kern w:val="0"/>
                <w:sz w:val="20"/>
                <w:szCs w:val="20"/>
              </w:rPr>
            </w:pPr>
          </w:p>
        </w:tc>
      </w:tr>
      <w:tr>
        <w:tblPrEx>
          <w:tblLayout w:type="fixed"/>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投入</w:t>
            </w:r>
          </w:p>
          <w:p>
            <w:pPr>
              <w:widowControl/>
              <w:spacing w:line="280" w:lineRule="exact"/>
              <w:jc w:val="center"/>
              <w:rPr>
                <w:rFonts w:ascii="宋体"/>
                <w:color w:val="000000"/>
                <w:kern w:val="0"/>
                <w:sz w:val="24"/>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12</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项目立项规范性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项目的申请、设立过程是否符合相关要求，用以反映和考核项目立项的规范情况。</w:t>
            </w: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①项目是否按照规定的程序申请设立；</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②所提交的文件、材料是否符合相关要求；</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③事前是否已经过必要的可行性研究、专家论证、风险评估、集体决策等。</w:t>
            </w:r>
          </w:p>
        </w:tc>
        <w:tc>
          <w:tcPr>
            <w:tcW w:w="68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绩效目标合理性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项目所设定的绩效目标是否依据充分，是否符合客观实际，用以反映和考核项目绩效目标与项目实施的相符情况。</w:t>
            </w: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①是否符合国家相关法律法规，国民经济发展规划和党委政府决策；</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②是否与项目实施单位或委托单位职责密切相关；</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③项目是否为促进事业发展所必需；</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④项目预期产出效益和效果是否符合正常的业绩水平。</w:t>
            </w:r>
          </w:p>
        </w:tc>
        <w:tc>
          <w:tcPr>
            <w:tcW w:w="68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绩效指标明确性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依据绩效目标设定的绩效指标是否清晰、细化、可衡量等，用以反映和考核项目绩效目标的明细化情况。</w:t>
            </w: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①是否将项目绩效目标细化分解为具体的绩效指标；</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②是否通过清晰、可衡量的指标值予以体现；</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③是否与项目年度任务教或计划数相对应；</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④是否与预期确定的项目投资额或资金量相匹配。</w:t>
            </w:r>
          </w:p>
        </w:tc>
        <w:tc>
          <w:tcPr>
            <w:tcW w:w="68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2</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资金落实</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实际到位资金与计划投入资金的比率，用以反映和考核资金落实情况对项目实施的总体保障程度。</w:t>
            </w: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资金到位率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计划投入资金）×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实际到位资金：一定时期（本年度或项目期）内实际落实到具体项目的资金。</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计划投入资金：一定时期（本年度或项目期）内计划投入到具体项目的资金。</w:t>
            </w:r>
          </w:p>
        </w:tc>
        <w:tc>
          <w:tcPr>
            <w:tcW w:w="68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及时到位资金与应到位资金的比率，用以反映和考核项目资金落实的及时性程度。</w:t>
            </w: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到位及时率＝（及时到位资金</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应到位资金）×</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及时到位资金：截至规定时点实际落实到具体项目的资金。</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应到位资金：按照合同或项目进度要求截至规定时点应落实到具体项目的资金。</w:t>
            </w:r>
          </w:p>
        </w:tc>
        <w:tc>
          <w:tcPr>
            <w:tcW w:w="68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restart"/>
            <w:tcBorders>
              <w:top w:val="nil"/>
              <w:left w:val="single" w:color="auto" w:sz="4" w:space="0"/>
              <w:right w:val="single" w:color="auto" w:sz="4" w:space="0"/>
            </w:tcBorders>
            <w:vAlign w:val="center"/>
          </w:tcPr>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过程</w:t>
            </w:r>
          </w:p>
          <w:p>
            <w:pPr>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业务管理</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w:t>
            </w:r>
            <w:r>
              <w:rPr>
                <w:rFonts w:hint="eastAsia" w:ascii="仿宋_GB2312" w:hAnsi="宋体" w:eastAsia="仿宋_GB2312"/>
                <w:color w:val="000000"/>
                <w:kern w:val="0"/>
                <w:sz w:val="20"/>
                <w:szCs w:val="20"/>
              </w:rPr>
              <w:t>分）</w:t>
            </w:r>
          </w:p>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项目实施单位的业务管理制度是否健全，用以反映和考核业务管理制度对项目顺利实施的保障情况。</w:t>
            </w: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①是否已制定或具有相应的业务管理制度；</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633" w:hRule="atLeast"/>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②业务管理制度是否合法、合规、完整。</w:t>
            </w:r>
          </w:p>
        </w:tc>
        <w:tc>
          <w:tcPr>
            <w:tcW w:w="68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2</w:t>
            </w: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仿宋_GB2312" w:hAnsi="宋体" w:eastAsia="仿宋_GB2312"/>
                <w:color w:val="000000"/>
                <w:kern w:val="0"/>
                <w:sz w:val="20"/>
                <w:szCs w:val="20"/>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制度执行有效性</w:t>
            </w:r>
          </w:p>
          <w:p>
            <w:pPr>
              <w:widowControl/>
              <w:spacing w:line="280" w:lineRule="exact"/>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项目实施是否符合相关业务管理规定，用以反映和考核业务管理制度的有效执行情况。</w:t>
            </w: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①是否遵守相关法律法规和业务管理规定；</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②项目调整及支出调整手续是否完备；</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203" w:type="dxa"/>
            <w:tcBorders>
              <w:top w:val="nil"/>
              <w:left w:val="nil"/>
              <w:bottom w:val="nil"/>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③项目合同书、验收报告、技术审定等资料是否齐全并及时归档</w:t>
            </w:r>
            <w:r>
              <w:rPr>
                <w:rFonts w:ascii="仿宋_GB2312" w:hAnsi="宋体" w:eastAsia="仿宋_GB2312"/>
                <w:color w:val="000000"/>
                <w:kern w:val="0"/>
                <w:sz w:val="20"/>
                <w:szCs w:val="20"/>
              </w:rPr>
              <w:t>;</w:t>
            </w:r>
          </w:p>
        </w:tc>
        <w:tc>
          <w:tcPr>
            <w:tcW w:w="684"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Layout w:type="fixed"/>
          <w:tblCellMar>
            <w:top w:w="0" w:type="dxa"/>
            <w:left w:w="108" w:type="dxa"/>
            <w:bottom w:w="0" w:type="dxa"/>
            <w:right w:w="108" w:type="dxa"/>
          </w:tblCellMar>
        </w:tblPrEx>
        <w:trPr>
          <w:trHeight w:val="1103" w:hRule="atLeast"/>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olor w:val="000000"/>
                <w:kern w:val="0"/>
                <w:sz w:val="24"/>
              </w:rPr>
            </w:pPr>
          </w:p>
        </w:tc>
        <w:tc>
          <w:tcPr>
            <w:tcW w:w="4203" w:type="dxa"/>
            <w:tcBorders>
              <w:top w:val="nil"/>
              <w:left w:val="nil"/>
              <w:bottom w:val="single" w:color="auto" w:sz="4" w:space="0"/>
              <w:right w:val="single" w:color="auto" w:sz="4" w:space="0"/>
            </w:tcBorders>
            <w:vAlign w:val="center"/>
          </w:tcPr>
          <w:p>
            <w:pPr>
              <w:widowControl/>
              <w:spacing w:line="280" w:lineRule="exac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④项目实施的人员条件、场地设备，信息支撑等是否落实到位。</w:t>
            </w:r>
          </w:p>
        </w:tc>
        <w:tc>
          <w:tcPr>
            <w:tcW w:w="684"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color w:val="000000"/>
                <w:kern w:val="0"/>
                <w:sz w:val="24"/>
              </w:rPr>
              <w:t>3</w:t>
            </w: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jc w:val="center"/>
              <w:rPr>
                <w:rFonts w:ascii="宋体"/>
                <w:color w:val="000000"/>
                <w:kern w:val="0"/>
                <w:sz w:val="24"/>
              </w:rPr>
            </w:pPr>
          </w:p>
        </w:tc>
        <w:tc>
          <w:tcPr>
            <w:tcW w:w="710" w:type="dxa"/>
            <w:vMerge w:val="continue"/>
            <w:tcBorders>
              <w:left w:val="single" w:color="auto" w:sz="4" w:space="0"/>
              <w:right w:val="single" w:color="auto" w:sz="4" w:space="0"/>
            </w:tcBorders>
            <w:vAlign w:val="center"/>
          </w:tcPr>
          <w:p>
            <w:pPr>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项目质量可控性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项目实施单位是否为达到项目质量要求而采取了必需的措施，用以反映和考核项目实施单位对项目质量的控制情况。</w:t>
            </w:r>
          </w:p>
        </w:tc>
        <w:tc>
          <w:tcPr>
            <w:tcW w:w="4203"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684"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left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①是否已制定或其有相应的项目质量要求或标准；</w:t>
            </w:r>
          </w:p>
        </w:tc>
        <w:tc>
          <w:tcPr>
            <w:tcW w:w="684"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trHeight w:val="1194"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②是否采取了相应的项目质量检查、验收等必需的控制措施或手段。</w:t>
            </w:r>
          </w:p>
        </w:tc>
        <w:tc>
          <w:tcPr>
            <w:tcW w:w="684"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财务管理</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管理制度健全性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5</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项目实施单位的财务制度是否健全，用以反映和考核财务管理制度对资金规范安全运行的保障情况。</w:t>
            </w: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684"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①是否已制定或具有相应的项目资金管理办法；</w:t>
            </w:r>
          </w:p>
        </w:tc>
        <w:tc>
          <w:tcPr>
            <w:tcW w:w="684"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trHeight w:val="866"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②项目资金管理办法是否符合相关财务会计制度的规定。</w:t>
            </w:r>
          </w:p>
        </w:tc>
        <w:tc>
          <w:tcPr>
            <w:tcW w:w="684"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资金使用合规性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项目资金使用是否符合相关的财务管理制度规定，用以反映和考核项目资金的规范运行情况。</w:t>
            </w:r>
          </w:p>
        </w:tc>
        <w:tc>
          <w:tcPr>
            <w:tcW w:w="4203"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684"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①是否符合国家财经法规和财务管理以及有关专项资金管理办法的规定；</w:t>
            </w:r>
          </w:p>
        </w:tc>
        <w:tc>
          <w:tcPr>
            <w:tcW w:w="684"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②资金的拨付是否有完整的审批程序和手续；</w:t>
            </w:r>
          </w:p>
        </w:tc>
        <w:tc>
          <w:tcPr>
            <w:tcW w:w="684" w:type="dxa"/>
            <w:tcBorders>
              <w:top w:val="nil"/>
              <w:left w:val="nil"/>
              <w:bottom w:val="nil"/>
              <w:right w:val="single" w:color="auto" w:sz="4" w:space="0"/>
            </w:tcBorders>
          </w:tcPr>
          <w:p>
            <w:pPr>
              <w:widowControl/>
              <w:rPr>
                <w:rFonts w:ascii="宋体"/>
                <w:color w:val="000000"/>
                <w:kern w:val="0"/>
                <w:sz w:val="24"/>
              </w:rPr>
            </w:pPr>
            <w:r>
              <w:rPr>
                <w:rFonts w:ascii="宋体"/>
                <w:color w:val="000000"/>
                <w:kern w:val="0"/>
                <w:sz w:val="24"/>
              </w:rPr>
              <w:t>7</w:t>
            </w: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③项目的重大开支是否经过评估认证；</w:t>
            </w:r>
          </w:p>
        </w:tc>
        <w:tc>
          <w:tcPr>
            <w:tcW w:w="684"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④是否符合项目预算批复或合同规定的用途；</w:t>
            </w:r>
          </w:p>
        </w:tc>
        <w:tc>
          <w:tcPr>
            <w:tcW w:w="684" w:type="dxa"/>
            <w:tcBorders>
              <w:top w:val="nil"/>
              <w:left w:val="nil"/>
              <w:bottom w:val="nil"/>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trHeight w:val="1027"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⑤是否存在截留、挤占、挪用、虚列支出等情况。</w:t>
            </w:r>
          </w:p>
        </w:tc>
        <w:tc>
          <w:tcPr>
            <w:tcW w:w="684"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trHeight w:val="377" w:hRule="atLeast"/>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财务监控有效性</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项目实施单位是否为保障资金的安全、规范运行而采取了必要的监控措施，用以反映和考核项目实施单位对资金运行的控制情况。</w:t>
            </w: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评价要点：</w:t>
            </w:r>
          </w:p>
        </w:tc>
        <w:tc>
          <w:tcPr>
            <w:tcW w:w="684"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①是否已制定或具有相应的监控机制；</w:t>
            </w:r>
          </w:p>
        </w:tc>
        <w:tc>
          <w:tcPr>
            <w:tcW w:w="684"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trHeight w:val="1519" w:hRule="atLeast"/>
          <w:jc w:val="center"/>
        </w:trPr>
        <w:tc>
          <w:tcPr>
            <w:tcW w:w="656"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②是否采取了相应的财务检查等必要的监控措施或手段。</w:t>
            </w:r>
          </w:p>
        </w:tc>
        <w:tc>
          <w:tcPr>
            <w:tcW w:w="684"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6</w:t>
            </w:r>
          </w:p>
        </w:tc>
      </w:tr>
      <w:tr>
        <w:tblPrEx>
          <w:tblLayout w:type="fixed"/>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项目产出</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30</w:t>
            </w:r>
            <w:r>
              <w:rPr>
                <w:rFonts w:hint="eastAsia" w:ascii="仿宋_GB2312" w:hAnsi="宋体" w:eastAsia="仿宋_GB2312"/>
                <w:color w:val="000000"/>
                <w:kern w:val="0"/>
                <w:sz w:val="20"/>
                <w:szCs w:val="20"/>
              </w:rPr>
              <w:t>分）</w:t>
            </w: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项目实施的实际产出数与计划产出数的比率，用以反映和考核项目产出数量目标的实现程度。</w:t>
            </w: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实际完成率＝（实际产出数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684"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实际产出数：一定时期（本年度或项目期）内项目实际产出的产品或提供的服务数。</w:t>
            </w:r>
          </w:p>
        </w:tc>
        <w:tc>
          <w:tcPr>
            <w:tcW w:w="684"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计划产出数：项目绩效目标确定的在一定时期（本年度或项目期）内计划产出的产品或提供的服务数量。</w:t>
            </w:r>
          </w:p>
        </w:tc>
        <w:tc>
          <w:tcPr>
            <w:tcW w:w="684" w:type="dxa"/>
            <w:tcBorders>
              <w:top w:val="nil"/>
              <w:left w:val="nil"/>
              <w:bottom w:val="single" w:color="auto" w:sz="4" w:space="0"/>
              <w:right w:val="single" w:color="auto" w:sz="4" w:space="0"/>
            </w:tcBorders>
          </w:tcPr>
          <w:p>
            <w:pPr>
              <w:widowControl/>
              <w:rPr>
                <w:rFonts w:ascii="宋体"/>
                <w:color w:val="000000"/>
                <w:kern w:val="0"/>
                <w:sz w:val="24"/>
              </w:rPr>
            </w:pPr>
            <w:r>
              <w:rPr>
                <w:rFonts w:ascii="宋体"/>
                <w:color w:val="000000"/>
                <w:kern w:val="0"/>
                <w:sz w:val="24"/>
              </w:rPr>
              <w:t>7</w:t>
            </w: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7</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项目实际提前完成时间与计划完成时间的比率，用以反映和考核项目产出时效目标的实现程度</w:t>
            </w: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完成及时率</w:t>
            </w:r>
            <w:r>
              <w:rPr>
                <w:rFonts w:ascii="仿宋_GB2312" w:hAnsi="宋体" w:eastAsia="仿宋_GB2312"/>
                <w:color w:val="000000"/>
                <w:kern w:val="0"/>
                <w:sz w:val="20"/>
                <w:szCs w:val="20"/>
              </w:rPr>
              <w:t>[ (</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实际完成时间）</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计划完成时间</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684"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实际完成时间：项目实施单位完成该项目实际所耗用的时间。</w:t>
            </w:r>
          </w:p>
        </w:tc>
        <w:tc>
          <w:tcPr>
            <w:tcW w:w="684"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7</w:t>
            </w:r>
          </w:p>
        </w:tc>
      </w:tr>
      <w:tr>
        <w:tblPrEx>
          <w:tblLayout w:type="fixed"/>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计划完成时间：按照项目实施计划或相关规定完成该项目所需的时间。</w:t>
            </w:r>
          </w:p>
        </w:tc>
        <w:tc>
          <w:tcPr>
            <w:tcW w:w="684"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项目完成的质量达标产出数与实际产出数的比率，用以反映和考核项目产出质量目标的实现程度。</w:t>
            </w: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质量达标率＝（质量达标产出数</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实际产出数）</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684"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质量达标产出数：一定时期（本年度或项目期）内实际达到既定质量标准的产品或服务数量。</w:t>
            </w:r>
          </w:p>
        </w:tc>
        <w:tc>
          <w:tcPr>
            <w:tcW w:w="684"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8</w:t>
            </w:r>
          </w:p>
        </w:tc>
      </w:tr>
      <w:tr>
        <w:tblPrEx>
          <w:tblLayout w:type="fixed"/>
          <w:tblCellMar>
            <w:top w:w="0" w:type="dxa"/>
            <w:left w:w="108" w:type="dxa"/>
            <w:bottom w:w="0" w:type="dxa"/>
            <w:right w:w="108" w:type="dxa"/>
          </w:tblCellMar>
        </w:tblPrEx>
        <w:trPr>
          <w:trHeight w:val="1006" w:hRule="exac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既定质量标准是指项目实施单位设立绩效目标时依据计划标准、行业标准、历史标准或其他标准而设定的绩效指标值。</w:t>
            </w:r>
          </w:p>
        </w:tc>
        <w:tc>
          <w:tcPr>
            <w:tcW w:w="684"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8</w:t>
            </w:r>
            <w:r>
              <w:rPr>
                <w:rFonts w:hint="eastAsia" w:ascii="仿宋_GB2312" w:hAnsi="宋体" w:eastAsia="仿宋_GB2312"/>
                <w:color w:val="000000"/>
                <w:kern w:val="0"/>
                <w:sz w:val="20"/>
                <w:szCs w:val="20"/>
              </w:rPr>
              <w:t>分）</w:t>
            </w:r>
          </w:p>
        </w:tc>
        <w:tc>
          <w:tcPr>
            <w:tcW w:w="3080" w:type="dxa"/>
            <w:vMerge w:val="restart"/>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完成项目计划工作目标的实际节约成本与计划成本的比率，用以反映和考核项目的成本节约程度。</w:t>
            </w: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成本节约率＝</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实际成本</w:t>
            </w:r>
            <w:r>
              <w:rPr>
                <w:rFonts w:ascii="仿宋_GB2312" w:hAnsi="宋体" w:eastAsia="仿宋_GB2312"/>
                <w:color w:val="000000"/>
                <w:kern w:val="0"/>
                <w:sz w:val="20"/>
                <w:szCs w:val="20"/>
              </w:rPr>
              <w:t>)</w:t>
            </w:r>
            <w:r>
              <w:rPr>
                <w:rFonts w:ascii="宋体" w:hAnsi="宋体" w:eastAsia="仿宋_GB2312"/>
                <w:color w:val="000000"/>
                <w:kern w:val="0"/>
                <w:sz w:val="20"/>
                <w:szCs w:val="20"/>
              </w:rPr>
              <w:t> </w:t>
            </w:r>
            <w:r>
              <w:rPr>
                <w:rFonts w:ascii="仿宋_GB2312" w:hAnsi="宋体" w:eastAsia="仿宋_GB2312"/>
                <w:color w:val="000000"/>
                <w:kern w:val="0"/>
                <w:sz w:val="20"/>
                <w:szCs w:val="20"/>
              </w:rPr>
              <w:t>/</w:t>
            </w:r>
            <w:r>
              <w:rPr>
                <w:rFonts w:hint="eastAsia" w:ascii="仿宋_GB2312" w:hAnsi="宋体" w:eastAsia="仿宋_GB2312"/>
                <w:color w:val="000000"/>
                <w:kern w:val="0"/>
                <w:sz w:val="20"/>
                <w:szCs w:val="20"/>
              </w:rPr>
              <w:t>计划成本×</w:t>
            </w:r>
            <w:r>
              <w:rPr>
                <w:rFonts w:ascii="仿宋_GB2312" w:hAnsi="宋体" w:eastAsia="仿宋_GB2312"/>
                <w:color w:val="000000"/>
                <w:kern w:val="0"/>
                <w:sz w:val="20"/>
                <w:szCs w:val="20"/>
              </w:rPr>
              <w:t>100%</w:t>
            </w:r>
            <w:r>
              <w:rPr>
                <w:rFonts w:hint="eastAsia" w:ascii="仿宋_GB2312" w:hAnsi="宋体" w:eastAsia="仿宋_GB2312"/>
                <w:color w:val="000000"/>
                <w:kern w:val="0"/>
                <w:sz w:val="20"/>
                <w:szCs w:val="20"/>
              </w:rPr>
              <w:t>。</w:t>
            </w:r>
          </w:p>
        </w:tc>
        <w:tc>
          <w:tcPr>
            <w:tcW w:w="684" w:type="dxa"/>
            <w:tcBorders>
              <w:top w:val="nil"/>
              <w:left w:val="nil"/>
              <w:bottom w:val="nil"/>
              <w:right w:val="single" w:color="auto" w:sz="4" w:space="0"/>
            </w:tcBorders>
          </w:tcPr>
          <w:p>
            <w:pPr>
              <w:widowControl/>
              <w:jc w:val="left"/>
              <w:rPr>
                <w:rFonts w:ascii="宋体"/>
                <w:color w:val="000000"/>
                <w:kern w:val="0"/>
                <w:sz w:val="24"/>
              </w:rPr>
            </w:pPr>
          </w:p>
        </w:tc>
      </w:tr>
      <w:tr>
        <w:tblPrEx>
          <w:tblLayout w:type="fixed"/>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nil"/>
              <w:right w:val="single" w:color="auto" w:sz="4" w:space="0"/>
            </w:tcBorders>
            <w:vAlign w:val="center"/>
          </w:tcPr>
          <w:p>
            <w:pPr>
              <w:widowControl/>
              <w:jc w:val="left"/>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实际成本：项目实施单位如期、保质、保量完成既定工作目标实际所耗费的支出。</w:t>
            </w:r>
          </w:p>
        </w:tc>
        <w:tc>
          <w:tcPr>
            <w:tcW w:w="684" w:type="dxa"/>
            <w:tcBorders>
              <w:top w:val="nil"/>
              <w:left w:val="nil"/>
              <w:bottom w:val="nil"/>
              <w:right w:val="single" w:color="auto" w:sz="4" w:space="0"/>
            </w:tcBorders>
          </w:tcPr>
          <w:p>
            <w:pPr>
              <w:widowControl/>
              <w:jc w:val="left"/>
              <w:rPr>
                <w:rFonts w:ascii="宋体"/>
                <w:color w:val="000000"/>
                <w:kern w:val="0"/>
                <w:sz w:val="24"/>
              </w:rPr>
            </w:pPr>
            <w:r>
              <w:rPr>
                <w:rFonts w:ascii="宋体"/>
                <w:color w:val="000000"/>
                <w:kern w:val="0"/>
                <w:sz w:val="24"/>
              </w:rPr>
              <w:t>7</w:t>
            </w: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3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4203" w:type="dxa"/>
            <w:tcBorders>
              <w:top w:val="nil"/>
              <w:left w:val="nil"/>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计划成本：项目实施单位为完成工作目标计划安排的支出，一般以项目预算为参考。</w:t>
            </w:r>
          </w:p>
        </w:tc>
        <w:tc>
          <w:tcPr>
            <w:tcW w:w="684" w:type="dxa"/>
            <w:tcBorders>
              <w:top w:val="nil"/>
              <w:left w:val="nil"/>
              <w:bottom w:val="single" w:color="auto" w:sz="4" w:space="0"/>
              <w:right w:val="single" w:color="auto" w:sz="4" w:space="0"/>
            </w:tcBorders>
          </w:tcPr>
          <w:p>
            <w:pPr>
              <w:widowControl/>
              <w:rPr>
                <w:rFonts w:ascii="宋体"/>
                <w:color w:val="000000"/>
                <w:kern w:val="0"/>
                <w:sz w:val="24"/>
              </w:rPr>
            </w:pPr>
          </w:p>
        </w:tc>
      </w:tr>
      <w:tr>
        <w:tblPrEx>
          <w:tblLayout w:type="fixed"/>
          <w:tblCellMar>
            <w:top w:w="0" w:type="dxa"/>
            <w:left w:w="108" w:type="dxa"/>
            <w:bottom w:w="0" w:type="dxa"/>
            <w:right w:w="108" w:type="dxa"/>
          </w:tblCellMar>
        </w:tblPrEx>
        <w:trPr>
          <w:trHeight w:val="667"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效果</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20</w:t>
            </w:r>
            <w:r>
              <w:rPr>
                <w:rFonts w:hint="eastAsia" w:ascii="仿宋_GB2312" w:hAnsi="宋体" w:eastAsia="仿宋_GB2312"/>
                <w:color w:val="000000"/>
                <w:kern w:val="0"/>
                <w:sz w:val="20"/>
                <w:szCs w:val="20"/>
              </w:rPr>
              <w:t>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经济效益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项目实施对经济发展所带来的直接或间接影响情况。</w:t>
            </w:r>
          </w:p>
        </w:tc>
        <w:tc>
          <w:tcPr>
            <w:tcW w:w="420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此四项指标为设置项目支出</w:t>
            </w:r>
            <w:r>
              <w:rPr>
                <w:rFonts w:hint="eastAsia" w:ascii="仿宋_GB2312" w:hAnsi="宋体"/>
                <w:color w:val="000000"/>
                <w:kern w:val="0"/>
                <w:sz w:val="20"/>
                <w:szCs w:val="20"/>
              </w:rPr>
              <w:t>績</w:t>
            </w:r>
            <w:r>
              <w:rPr>
                <w:rFonts w:hint="eastAsia" w:ascii="仿宋_GB2312" w:hAnsi="宋体" w:eastAsia="仿宋_GB2312"/>
                <w:color w:val="000000"/>
                <w:kern w:val="0"/>
                <w:sz w:val="20"/>
                <w:szCs w:val="20"/>
              </w:rPr>
              <w:t>效评价指标时必须考虑的共性要素，可根据项目实际并结合绩效目标设立情况有选择的进行设置，并将其细化为相应的个性化指标。</w:t>
            </w:r>
          </w:p>
        </w:tc>
        <w:tc>
          <w:tcPr>
            <w:tcW w:w="684" w:type="dxa"/>
            <w:tcBorders>
              <w:top w:val="single" w:color="auto" w:sz="4" w:space="0"/>
              <w:left w:val="single" w:color="auto" w:sz="4" w:space="0"/>
              <w:bottom w:val="single" w:color="auto" w:sz="4" w:space="0"/>
              <w:right w:val="single" w:color="auto" w:sz="4" w:space="0"/>
            </w:tcBorders>
          </w:tcPr>
          <w:p>
            <w:pPr>
              <w:widowControl/>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trHeight w:val="60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项目实施对社会发展所带来的直接或间接影响情况。</w:t>
            </w:r>
          </w:p>
        </w:tc>
        <w:tc>
          <w:tcPr>
            <w:tcW w:w="4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684"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24"/>
              </w:rPr>
            </w:pPr>
            <w:r>
              <w:rPr>
                <w:rFonts w:ascii="宋体"/>
                <w:color w:val="000000"/>
                <w:kern w:val="0"/>
                <w:sz w:val="24"/>
              </w:rPr>
              <w:t>3</w:t>
            </w:r>
          </w:p>
        </w:tc>
      </w:tr>
      <w:tr>
        <w:tblPrEx>
          <w:tblLayout w:type="fixed"/>
          <w:tblCellMar>
            <w:top w:w="0" w:type="dxa"/>
            <w:left w:w="108" w:type="dxa"/>
            <w:bottom w:w="0" w:type="dxa"/>
            <w:right w:w="108" w:type="dxa"/>
          </w:tblCellMar>
        </w:tblPrEx>
        <w:trPr>
          <w:trHeight w:val="755"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生态效益</w:t>
            </w:r>
          </w:p>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w:t>
            </w:r>
            <w:r>
              <w:rPr>
                <w:rFonts w:ascii="仿宋_GB2312" w:hAnsi="宋体" w:eastAsia="仿宋_GB2312"/>
                <w:color w:val="000000"/>
                <w:kern w:val="0"/>
                <w:sz w:val="20"/>
                <w:szCs w:val="20"/>
              </w:rPr>
              <w:t>3</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项目实施对生态环境所带来的直接或间接影响情况。</w:t>
            </w:r>
          </w:p>
        </w:tc>
        <w:tc>
          <w:tcPr>
            <w:tcW w:w="4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0"/>
                <w:szCs w:val="20"/>
              </w:rPr>
            </w:pPr>
          </w:p>
        </w:tc>
        <w:tc>
          <w:tcPr>
            <w:tcW w:w="684"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24"/>
              </w:rPr>
            </w:pPr>
            <w:r>
              <w:rPr>
                <w:rFonts w:ascii="宋体"/>
                <w:color w:val="000000"/>
                <w:kern w:val="0"/>
                <w:sz w:val="24"/>
              </w:rPr>
              <w:t>3</w:t>
            </w:r>
          </w:p>
        </w:tc>
      </w:tr>
      <w:tr>
        <w:tblPrEx>
          <w:tblLayout w:type="fixed"/>
          <w:tblCellMar>
            <w:top w:w="0" w:type="dxa"/>
            <w:left w:w="108" w:type="dxa"/>
            <w:bottom w:w="0" w:type="dxa"/>
            <w:right w:w="108" w:type="dxa"/>
          </w:tblCellMar>
        </w:tblPrEx>
        <w:trPr>
          <w:trHeight w:val="59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可持续影响（</w:t>
            </w:r>
            <w:r>
              <w:rPr>
                <w:rFonts w:ascii="仿宋_GB2312" w:hAnsi="宋体" w:eastAsia="仿宋_GB2312"/>
                <w:color w:val="000000"/>
                <w:kern w:val="0"/>
                <w:sz w:val="20"/>
                <w:szCs w:val="20"/>
              </w:rPr>
              <w:t>4</w:t>
            </w:r>
            <w:r>
              <w:rPr>
                <w:rFonts w:hint="eastAsia" w:ascii="仿宋_GB2312" w:hAnsi="宋体" w:eastAsia="仿宋_GB2312"/>
                <w:color w:val="000000"/>
                <w:kern w:val="0"/>
                <w:sz w:val="20"/>
                <w:szCs w:val="20"/>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项目后续运行及成效发挥的可持续影响情况。</w:t>
            </w:r>
          </w:p>
        </w:tc>
        <w:tc>
          <w:tcPr>
            <w:tcW w:w="4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684"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kern w:val="0"/>
                <w:sz w:val="24"/>
              </w:rPr>
            </w:pPr>
            <w:r>
              <w:rPr>
                <w:rFonts w:ascii="宋体"/>
                <w:color w:val="000000"/>
                <w:kern w:val="0"/>
                <w:sz w:val="24"/>
              </w:rPr>
              <w:t>4</w:t>
            </w:r>
          </w:p>
        </w:tc>
      </w:tr>
      <w:tr>
        <w:tblPrEx>
          <w:tblLayout w:type="fixed"/>
          <w:tblCellMar>
            <w:top w:w="0" w:type="dxa"/>
            <w:left w:w="108" w:type="dxa"/>
            <w:bottom w:w="0" w:type="dxa"/>
            <w:right w:w="108" w:type="dxa"/>
          </w:tblCellMar>
        </w:tblPrEx>
        <w:trPr>
          <w:trHeight w:val="916"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社会公众或服务对象满意度（</w:t>
            </w:r>
            <w:r>
              <w:rPr>
                <w:rFonts w:ascii="仿宋_GB2312" w:hAnsi="宋体" w:eastAsia="仿宋_GB2312"/>
                <w:color w:val="000000"/>
                <w:kern w:val="0"/>
                <w:sz w:val="18"/>
                <w:szCs w:val="18"/>
              </w:rPr>
              <w:t>6</w:t>
            </w:r>
            <w:r>
              <w:rPr>
                <w:rFonts w:hint="eastAsia" w:ascii="仿宋_GB2312" w:hAnsi="宋体" w:eastAsia="仿宋_GB2312"/>
                <w:color w:val="000000"/>
                <w:kern w:val="0"/>
                <w:sz w:val="18"/>
                <w:szCs w:val="18"/>
              </w:rPr>
              <w:t>分）</w:t>
            </w:r>
          </w:p>
        </w:tc>
        <w:tc>
          <w:tcPr>
            <w:tcW w:w="30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20"/>
                <w:szCs w:val="20"/>
              </w:rPr>
            </w:pPr>
            <w:r>
              <w:rPr>
                <w:rFonts w:hint="eastAsia" w:ascii="仿宋_GB2312" w:hAnsi="宋体" w:eastAsia="仿宋_GB2312"/>
                <w:color w:val="000000"/>
                <w:kern w:val="0"/>
                <w:sz w:val="20"/>
                <w:szCs w:val="20"/>
              </w:rPr>
              <w:t>社会公众或服务对象对项目实施效策的满意程度</w:t>
            </w:r>
          </w:p>
        </w:tc>
        <w:tc>
          <w:tcPr>
            <w:tcW w:w="420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社会公众或服务对象是指因该项目实施而受到影响的部门</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单位</w:t>
            </w:r>
            <w:r>
              <w:rPr>
                <w:rFonts w:ascii="仿宋_GB2312" w:hAnsi="宋体" w:eastAsia="仿宋_GB2312"/>
                <w:color w:val="000000"/>
                <w:kern w:val="0"/>
                <w:sz w:val="18"/>
                <w:szCs w:val="18"/>
              </w:rPr>
              <w:t>)</w:t>
            </w:r>
            <w:r>
              <w:rPr>
                <w:rFonts w:hint="eastAsia" w:ascii="仿宋_GB2312" w:hAnsi="宋体" w:eastAsia="仿宋_GB2312"/>
                <w:color w:val="000000"/>
                <w:kern w:val="0"/>
                <w:sz w:val="18"/>
                <w:szCs w:val="18"/>
              </w:rPr>
              <w:t>、群体或个人。一般采取社会调查的方式。</w:t>
            </w:r>
          </w:p>
        </w:tc>
        <w:tc>
          <w:tcPr>
            <w:tcW w:w="684" w:type="dxa"/>
            <w:tcBorders>
              <w:top w:val="single" w:color="auto" w:sz="4" w:space="0"/>
              <w:left w:val="single" w:color="auto" w:sz="4" w:space="0"/>
              <w:bottom w:val="single" w:color="auto" w:sz="4" w:space="0"/>
              <w:right w:val="single" w:color="auto" w:sz="4" w:space="0"/>
            </w:tcBorders>
          </w:tcPr>
          <w:p>
            <w:pPr>
              <w:widowControl/>
              <w:rPr>
                <w:rFonts w:ascii="宋体"/>
                <w:color w:val="000000"/>
                <w:kern w:val="0"/>
                <w:sz w:val="24"/>
              </w:rPr>
            </w:pPr>
            <w:r>
              <w:rPr>
                <w:rFonts w:ascii="宋体"/>
                <w:color w:val="000000"/>
                <w:kern w:val="0"/>
                <w:sz w:val="24"/>
              </w:rPr>
              <w:t>6</w:t>
            </w:r>
          </w:p>
        </w:tc>
      </w:tr>
      <w:tr>
        <w:tblPrEx>
          <w:tblLayout w:type="fixed"/>
          <w:tblCellMar>
            <w:top w:w="0" w:type="dxa"/>
            <w:left w:w="108" w:type="dxa"/>
            <w:bottom w:w="0" w:type="dxa"/>
            <w:right w:w="108" w:type="dxa"/>
          </w:tblCellMar>
        </w:tblPrEx>
        <w:trPr>
          <w:trHeight w:val="916" w:hRule="atLeast"/>
          <w:jc w:val="center"/>
        </w:trPr>
        <w:tc>
          <w:tcPr>
            <w:tcW w:w="992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24"/>
                <w:szCs w:val="24"/>
              </w:rPr>
              <w:t>合计得分</w:t>
            </w:r>
          </w:p>
        </w:tc>
        <w:tc>
          <w:tcPr>
            <w:tcW w:w="684" w:type="dxa"/>
            <w:tcBorders>
              <w:top w:val="single" w:color="auto" w:sz="4" w:space="0"/>
              <w:left w:val="single" w:color="auto" w:sz="4" w:space="0"/>
              <w:bottom w:val="single" w:color="auto" w:sz="4" w:space="0"/>
              <w:right w:val="single" w:color="auto" w:sz="4" w:space="0"/>
            </w:tcBorders>
          </w:tcPr>
          <w:p>
            <w:pPr>
              <w:widowControl/>
              <w:rPr>
                <w:rFonts w:ascii="宋体"/>
                <w:color w:val="000000"/>
                <w:kern w:val="0"/>
                <w:sz w:val="24"/>
              </w:rPr>
            </w:pPr>
            <w:r>
              <w:rPr>
                <w:rFonts w:ascii="宋体"/>
                <w:color w:val="000000"/>
                <w:kern w:val="0"/>
                <w:sz w:val="24"/>
              </w:rPr>
              <w:t>93</w:t>
            </w:r>
          </w:p>
        </w:tc>
      </w:tr>
    </w:tbl>
    <w:p>
      <w:r>
        <w:rPr>
          <w:rFonts w:ascii="仿宋_GB2312" w:eastAsia="仿宋_GB2312"/>
          <w:color w:val="000000"/>
          <w:sz w:val="32"/>
        </w:rPr>
        <w:br w:type="page"/>
      </w:r>
      <w:r>
        <w:t xml:space="preserve"> </w:t>
      </w:r>
    </w:p>
    <w:p>
      <w:pPr>
        <w:widowControl/>
      </w:pPr>
    </w:p>
    <w:sectPr>
      <w:headerReference r:id="rId5" w:type="first"/>
      <w:footerReference r:id="rId8" w:type="first"/>
      <w:headerReference r:id="rId3" w:type="default"/>
      <w:footerReference r:id="rId6" w:type="default"/>
      <w:headerReference r:id="rId4" w:type="even"/>
      <w:footerReference r:id="rId7" w:type="even"/>
      <w:pgSz w:w="11850" w:h="16783"/>
      <w:pgMar w:top="1327" w:right="1650" w:bottom="1100" w:left="1800" w:header="0" w:footer="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5137E4"/>
    <w:rsid w:val="00020F4B"/>
    <w:rsid w:val="000334CC"/>
    <w:rsid w:val="000C4B77"/>
    <w:rsid w:val="000E43B3"/>
    <w:rsid w:val="001032C5"/>
    <w:rsid w:val="00117BAD"/>
    <w:rsid w:val="00190ABE"/>
    <w:rsid w:val="00246E64"/>
    <w:rsid w:val="002C488B"/>
    <w:rsid w:val="002F6396"/>
    <w:rsid w:val="0032006F"/>
    <w:rsid w:val="00331EDF"/>
    <w:rsid w:val="003E0CFA"/>
    <w:rsid w:val="003E24DD"/>
    <w:rsid w:val="00402335"/>
    <w:rsid w:val="00443E67"/>
    <w:rsid w:val="0047797C"/>
    <w:rsid w:val="00495A04"/>
    <w:rsid w:val="004B3E04"/>
    <w:rsid w:val="004C07A4"/>
    <w:rsid w:val="004D00CF"/>
    <w:rsid w:val="004F5109"/>
    <w:rsid w:val="00501B51"/>
    <w:rsid w:val="00570839"/>
    <w:rsid w:val="005E3868"/>
    <w:rsid w:val="005E468E"/>
    <w:rsid w:val="005F7E7F"/>
    <w:rsid w:val="00605936"/>
    <w:rsid w:val="00612026"/>
    <w:rsid w:val="00621FEF"/>
    <w:rsid w:val="006978B8"/>
    <w:rsid w:val="006A3C37"/>
    <w:rsid w:val="006A7D8E"/>
    <w:rsid w:val="006F15B5"/>
    <w:rsid w:val="006F46F7"/>
    <w:rsid w:val="007D5B41"/>
    <w:rsid w:val="007E3010"/>
    <w:rsid w:val="007F2C04"/>
    <w:rsid w:val="008F5953"/>
    <w:rsid w:val="00917B14"/>
    <w:rsid w:val="00930568"/>
    <w:rsid w:val="009A2F55"/>
    <w:rsid w:val="009C374C"/>
    <w:rsid w:val="009D4482"/>
    <w:rsid w:val="00A03157"/>
    <w:rsid w:val="00A106DA"/>
    <w:rsid w:val="00A147E6"/>
    <w:rsid w:val="00A71872"/>
    <w:rsid w:val="00A736E6"/>
    <w:rsid w:val="00A77DDE"/>
    <w:rsid w:val="00A90A1E"/>
    <w:rsid w:val="00AB3F02"/>
    <w:rsid w:val="00B02706"/>
    <w:rsid w:val="00B463EC"/>
    <w:rsid w:val="00B53358"/>
    <w:rsid w:val="00B636C9"/>
    <w:rsid w:val="00B812FE"/>
    <w:rsid w:val="00BD2F3F"/>
    <w:rsid w:val="00BE0E99"/>
    <w:rsid w:val="00C50297"/>
    <w:rsid w:val="00C70828"/>
    <w:rsid w:val="00C84B9D"/>
    <w:rsid w:val="00C8652F"/>
    <w:rsid w:val="00D02271"/>
    <w:rsid w:val="00D04336"/>
    <w:rsid w:val="00D37E24"/>
    <w:rsid w:val="00D61308"/>
    <w:rsid w:val="00D72963"/>
    <w:rsid w:val="00D86945"/>
    <w:rsid w:val="00DC5A00"/>
    <w:rsid w:val="00DD761F"/>
    <w:rsid w:val="00E062D9"/>
    <w:rsid w:val="00E410D0"/>
    <w:rsid w:val="00E579AB"/>
    <w:rsid w:val="00F616D5"/>
    <w:rsid w:val="01540DA8"/>
    <w:rsid w:val="03AE7CEF"/>
    <w:rsid w:val="051D30EA"/>
    <w:rsid w:val="07CE4C09"/>
    <w:rsid w:val="09C31645"/>
    <w:rsid w:val="0A193011"/>
    <w:rsid w:val="0C1D6C41"/>
    <w:rsid w:val="0D3419B4"/>
    <w:rsid w:val="104A59B1"/>
    <w:rsid w:val="108A2FEB"/>
    <w:rsid w:val="114C59C8"/>
    <w:rsid w:val="12426120"/>
    <w:rsid w:val="14A8424C"/>
    <w:rsid w:val="1610050A"/>
    <w:rsid w:val="17B35D99"/>
    <w:rsid w:val="17E31494"/>
    <w:rsid w:val="17F71488"/>
    <w:rsid w:val="1A304F0B"/>
    <w:rsid w:val="1D5132B3"/>
    <w:rsid w:val="1D6B0BB6"/>
    <w:rsid w:val="22521886"/>
    <w:rsid w:val="22D740B8"/>
    <w:rsid w:val="22E90356"/>
    <w:rsid w:val="23943EF5"/>
    <w:rsid w:val="240B63D5"/>
    <w:rsid w:val="258018C0"/>
    <w:rsid w:val="2659509A"/>
    <w:rsid w:val="26B11A3A"/>
    <w:rsid w:val="29EC32BE"/>
    <w:rsid w:val="2E3511A9"/>
    <w:rsid w:val="357B7AED"/>
    <w:rsid w:val="36F764EF"/>
    <w:rsid w:val="374E666C"/>
    <w:rsid w:val="37EB5A18"/>
    <w:rsid w:val="385B3896"/>
    <w:rsid w:val="3AAB44BD"/>
    <w:rsid w:val="3B900107"/>
    <w:rsid w:val="3BE06DF3"/>
    <w:rsid w:val="3DC46684"/>
    <w:rsid w:val="3E493596"/>
    <w:rsid w:val="3F880CCF"/>
    <w:rsid w:val="402A3780"/>
    <w:rsid w:val="404F0CAC"/>
    <w:rsid w:val="418B0C90"/>
    <w:rsid w:val="44966123"/>
    <w:rsid w:val="459B564D"/>
    <w:rsid w:val="48035DFE"/>
    <w:rsid w:val="4A820533"/>
    <w:rsid w:val="4B7F71D1"/>
    <w:rsid w:val="4CF657D3"/>
    <w:rsid w:val="4E1F59D2"/>
    <w:rsid w:val="4F564F38"/>
    <w:rsid w:val="50EF391A"/>
    <w:rsid w:val="51524FCA"/>
    <w:rsid w:val="53A73ADE"/>
    <w:rsid w:val="53F605A7"/>
    <w:rsid w:val="54040CEA"/>
    <w:rsid w:val="54D7618A"/>
    <w:rsid w:val="54FF0268"/>
    <w:rsid w:val="566468C9"/>
    <w:rsid w:val="58231176"/>
    <w:rsid w:val="589D2CCD"/>
    <w:rsid w:val="595F096B"/>
    <w:rsid w:val="59793404"/>
    <w:rsid w:val="59D722C0"/>
    <w:rsid w:val="5AE64F25"/>
    <w:rsid w:val="5C531035"/>
    <w:rsid w:val="620C7F2C"/>
    <w:rsid w:val="63FD4981"/>
    <w:rsid w:val="64BC353F"/>
    <w:rsid w:val="6524032D"/>
    <w:rsid w:val="68532135"/>
    <w:rsid w:val="68C32CA2"/>
    <w:rsid w:val="6B187AD2"/>
    <w:rsid w:val="6D03067C"/>
    <w:rsid w:val="6D1F6202"/>
    <w:rsid w:val="6D535020"/>
    <w:rsid w:val="6DC31AA8"/>
    <w:rsid w:val="6DF36BBE"/>
    <w:rsid w:val="6F816AC5"/>
    <w:rsid w:val="6FEC6C62"/>
    <w:rsid w:val="70A55C94"/>
    <w:rsid w:val="71AE7FEB"/>
    <w:rsid w:val="71F0545F"/>
    <w:rsid w:val="73C23E03"/>
    <w:rsid w:val="754C2B95"/>
    <w:rsid w:val="75871E6E"/>
    <w:rsid w:val="75940776"/>
    <w:rsid w:val="75AB21CA"/>
    <w:rsid w:val="75C076F3"/>
    <w:rsid w:val="776C2435"/>
    <w:rsid w:val="7777743F"/>
    <w:rsid w:val="785137E4"/>
    <w:rsid w:val="79274980"/>
    <w:rsid w:val="7B2E4CBA"/>
    <w:rsid w:val="7F362D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character" w:customStyle="1" w:styleId="9">
    <w:name w:val="Footer Char"/>
    <w:basedOn w:val="7"/>
    <w:link w:val="2"/>
    <w:semiHidden/>
    <w:locked/>
    <w:uiPriority w:val="99"/>
    <w:rPr>
      <w:rFonts w:ascii="Calibri" w:hAnsi="Calibri" w:eastAsia="宋体" w:cs="Calibri"/>
      <w:sz w:val="18"/>
      <w:szCs w:val="18"/>
    </w:rPr>
  </w:style>
  <w:style w:type="character" w:customStyle="1" w:styleId="10">
    <w:name w:val="Header Char"/>
    <w:basedOn w:val="7"/>
    <w:link w:val="3"/>
    <w:semiHidden/>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532</Words>
  <Characters>3039</Characters>
  <Lines>0</Lines>
  <Paragraphs>0</Paragraphs>
  <TotalTime>1481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2019-02-25T08:36:00Z</dcterms:created>
  <dc:creator>Administrator</dc:creator>
  <cp:lastModifiedBy>11</cp:lastModifiedBy>
  <cp:lastPrinted>2019-03-18T08:26:50Z</cp:lastPrinted>
  <dcterms:modified xsi:type="dcterms:W3CDTF">2019-03-18T08:27:53Z</dcterms:modified>
  <dc:title>永州市冷水滩区财政局文件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