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center"/>
        <w:rPr>
          <w:rFonts w:hint="eastAsia" w:asciiTheme="majorEastAsia" w:hAnsiTheme="majorEastAsia" w:eastAsiaTheme="majorEastAsia" w:cstheme="majorEastAsia"/>
          <w:b/>
          <w:bCs/>
          <w:color w:val="000000"/>
          <w:kern w:val="0"/>
          <w:sz w:val="44"/>
          <w:szCs w:val="44"/>
        </w:rPr>
      </w:pPr>
    </w:p>
    <w:p>
      <w:pPr>
        <w:spacing w:line="620" w:lineRule="exact"/>
        <w:jc w:val="center"/>
        <w:rPr>
          <w:rFonts w:ascii="方正小标宋简体" w:eastAsia="方正小标宋简体"/>
          <w:color w:val="000000"/>
          <w:kern w:val="0"/>
          <w:sz w:val="36"/>
          <w:szCs w:val="36"/>
        </w:rPr>
      </w:pPr>
      <w:r>
        <w:rPr>
          <w:rFonts w:hint="eastAsia" w:asciiTheme="majorEastAsia" w:hAnsiTheme="majorEastAsia" w:eastAsiaTheme="majorEastAsia" w:cstheme="majorEastAsia"/>
          <w:b/>
          <w:bCs/>
          <w:color w:val="000000"/>
          <w:kern w:val="0"/>
          <w:sz w:val="44"/>
          <w:szCs w:val="44"/>
        </w:rPr>
        <w:t>2018年度专项（项目）资金绩效自评报告</w:t>
      </w:r>
    </w:p>
    <w:p>
      <w:pPr>
        <w:spacing w:line="620" w:lineRule="exact"/>
        <w:ind w:firstLine="562" w:firstLineChars="200"/>
        <w:rPr>
          <w:rFonts w:hint="eastAsia" w:asciiTheme="minorEastAsia" w:hAnsiTheme="minorEastAsia" w:eastAsiaTheme="minorEastAsia" w:cstheme="minorEastAsia"/>
          <w:b/>
          <w:bCs/>
          <w:color w:val="000000"/>
          <w:kern w:val="0"/>
          <w:sz w:val="28"/>
          <w:szCs w:val="28"/>
        </w:rPr>
      </w:pPr>
    </w:p>
    <w:p>
      <w:pPr>
        <w:spacing w:line="620" w:lineRule="exact"/>
        <w:ind w:firstLine="562" w:firstLineChars="200"/>
        <w:rPr>
          <w:rFonts w:hint="eastAsia" w:asciiTheme="minorEastAsia" w:hAnsiTheme="minorEastAsia" w:eastAsiaTheme="minorEastAsia" w:cstheme="minorEastAsia"/>
          <w:b/>
          <w:bCs/>
          <w:color w:val="000000"/>
          <w:kern w:val="0"/>
          <w:sz w:val="28"/>
          <w:szCs w:val="28"/>
        </w:rPr>
      </w:pPr>
      <w:r>
        <w:rPr>
          <w:rFonts w:hint="eastAsia" w:asciiTheme="minorEastAsia" w:hAnsiTheme="minorEastAsia" w:eastAsiaTheme="minorEastAsia" w:cstheme="minorEastAsia"/>
          <w:b/>
          <w:bCs/>
          <w:color w:val="000000"/>
          <w:kern w:val="0"/>
          <w:sz w:val="28"/>
          <w:szCs w:val="28"/>
        </w:rPr>
        <w:t>一、项目概况</w:t>
      </w:r>
    </w:p>
    <w:p>
      <w:pPr>
        <w:spacing w:line="620" w:lineRule="exact"/>
        <w:ind w:firstLine="560" w:firstLineChars="200"/>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（一）项目单位基本情况。</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主要职能：</w:t>
      </w:r>
      <w:r>
        <w:rPr>
          <w:rFonts w:hint="eastAsia" w:asciiTheme="minorEastAsia" w:hAnsiTheme="minorEastAsia" w:eastAsiaTheme="minorEastAsia" w:cstheme="minorEastAsia"/>
          <w:sz w:val="28"/>
          <w:szCs w:val="28"/>
        </w:rPr>
        <w:t>1、基层组织建设工作；2、农业农村工作（含新农村建设、退耕还林、农业产业结构调整、林权改革工作、疾病防疫工作、防汛抗旱工作、粮食生产工作等）；3、森林防火工作；4、计划生育工作；5、社会稳定工作；6、社会事务工作（含农村合作医疗、民政、残联、劳动保障等工作）。</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机构情况：</w:t>
      </w:r>
      <w:r>
        <w:rPr>
          <w:rFonts w:hint="eastAsia" w:asciiTheme="minorEastAsia" w:hAnsiTheme="minorEastAsia" w:eastAsiaTheme="minorEastAsia" w:cstheme="minorEastAsia"/>
          <w:sz w:val="28"/>
          <w:szCs w:val="28"/>
        </w:rPr>
        <w:t>我单位组成机构有党委、人大、政府（经管站、文化站、农技站、农机站、企业办、兽医站、林业站、水管站）、政协等部门。</w:t>
      </w:r>
    </w:p>
    <w:p>
      <w:pPr>
        <w:numPr>
          <w:ilvl w:val="0"/>
          <w:numId w:val="1"/>
        </w:numPr>
        <w:spacing w:line="620" w:lineRule="exact"/>
        <w:ind w:firstLine="560" w:firstLineChars="200"/>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sz w:val="28"/>
          <w:szCs w:val="28"/>
          <w:lang w:eastAsia="zh-CN"/>
        </w:rPr>
        <w:t>人员情况。</w:t>
      </w:r>
    </w:p>
    <w:p>
      <w:pPr>
        <w:numPr>
          <w:ilvl w:val="0"/>
          <w:numId w:val="0"/>
        </w:numPr>
        <w:spacing w:line="62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我单位现有编制</w:t>
      </w:r>
      <w:r>
        <w:rPr>
          <w:rFonts w:hint="eastAsia" w:asciiTheme="minorEastAsia" w:hAnsiTheme="minorEastAsia" w:eastAsiaTheme="minorEastAsia" w:cstheme="minorEastAsia"/>
          <w:sz w:val="28"/>
          <w:szCs w:val="28"/>
          <w:lang w:val="en-US" w:eastAsia="zh-CN"/>
        </w:rPr>
        <w:t>67</w:t>
      </w:r>
      <w:r>
        <w:rPr>
          <w:rFonts w:hint="eastAsia" w:asciiTheme="minorEastAsia" w:hAnsiTheme="minorEastAsia" w:eastAsiaTheme="minorEastAsia" w:cstheme="minorEastAsia"/>
          <w:sz w:val="28"/>
          <w:szCs w:val="28"/>
        </w:rPr>
        <w:t>人，其中行政编制</w:t>
      </w:r>
      <w:r>
        <w:rPr>
          <w:rFonts w:hint="eastAsia" w:asciiTheme="minorEastAsia" w:hAnsiTheme="minorEastAsia" w:eastAsiaTheme="minorEastAsia" w:cstheme="minorEastAsia"/>
          <w:sz w:val="28"/>
          <w:szCs w:val="28"/>
          <w:lang w:val="en-US" w:eastAsia="zh-CN"/>
        </w:rPr>
        <w:t>18</w:t>
      </w:r>
      <w:r>
        <w:rPr>
          <w:rFonts w:hint="eastAsia" w:asciiTheme="minorEastAsia" w:hAnsiTheme="minorEastAsia" w:eastAsiaTheme="minorEastAsia" w:cstheme="minorEastAsia"/>
          <w:sz w:val="28"/>
          <w:szCs w:val="28"/>
        </w:rPr>
        <w:t>人，事业编制</w:t>
      </w:r>
      <w:r>
        <w:rPr>
          <w:rFonts w:hint="eastAsia" w:asciiTheme="minorEastAsia" w:hAnsiTheme="minorEastAsia" w:eastAsiaTheme="minorEastAsia" w:cstheme="minorEastAsia"/>
          <w:sz w:val="28"/>
          <w:szCs w:val="28"/>
          <w:lang w:val="en-US" w:eastAsia="zh-CN"/>
        </w:rPr>
        <w:t>49</w:t>
      </w:r>
      <w:r>
        <w:rPr>
          <w:rFonts w:hint="eastAsia" w:asciiTheme="minorEastAsia" w:hAnsiTheme="minorEastAsia" w:eastAsiaTheme="minorEastAsia" w:cstheme="minorEastAsia"/>
          <w:sz w:val="28"/>
          <w:szCs w:val="28"/>
        </w:rPr>
        <w:t>人。现有在职人员89人，其中正科级</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人，副科级1</w:t>
      </w:r>
      <w:r>
        <w:rPr>
          <w:rFonts w:hint="eastAsia" w:asciiTheme="minorEastAsia" w:hAnsiTheme="minorEastAsia" w:eastAsiaTheme="minorEastAsia" w:cstheme="minorEastAsia"/>
          <w:sz w:val="28"/>
          <w:szCs w:val="28"/>
          <w:lang w:val="en-US" w:eastAsia="zh-CN"/>
        </w:rPr>
        <w:t>0</w:t>
      </w:r>
      <w:r>
        <w:rPr>
          <w:rFonts w:hint="eastAsia" w:asciiTheme="minorEastAsia" w:hAnsiTheme="minorEastAsia" w:eastAsiaTheme="minorEastAsia" w:cstheme="minorEastAsia"/>
          <w:sz w:val="28"/>
          <w:szCs w:val="28"/>
        </w:rPr>
        <w:t>人，科员</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人，执行事业单位工资标准人员</w:t>
      </w:r>
      <w:r>
        <w:rPr>
          <w:rFonts w:hint="eastAsia" w:asciiTheme="minorEastAsia" w:hAnsiTheme="minorEastAsia" w:eastAsiaTheme="minorEastAsia" w:cstheme="minorEastAsia"/>
          <w:sz w:val="28"/>
          <w:szCs w:val="28"/>
          <w:lang w:val="en-US" w:eastAsia="zh-CN"/>
        </w:rPr>
        <w:t>49</w:t>
      </w:r>
      <w:r>
        <w:rPr>
          <w:rFonts w:hint="eastAsia" w:asciiTheme="minorEastAsia" w:hAnsiTheme="minorEastAsia" w:eastAsiaTheme="minorEastAsia" w:cstheme="minorEastAsia"/>
          <w:sz w:val="28"/>
          <w:szCs w:val="28"/>
        </w:rPr>
        <w:t>人（含五站一办人员9人，其中编外人员</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人），退休19人。车辆编制及实有数为</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辆。</w:t>
      </w:r>
    </w:p>
    <w:p>
      <w:pPr>
        <w:numPr>
          <w:ilvl w:val="0"/>
          <w:numId w:val="0"/>
        </w:numPr>
        <w:spacing w:line="620" w:lineRule="exact"/>
        <w:ind w:firstLine="560" w:firstLineChars="200"/>
        <w:rPr>
          <w:rFonts w:hint="eastAsia" w:asciiTheme="minorEastAsia" w:hAnsiTheme="minorEastAsia" w:eastAsiaTheme="minorEastAsia" w:cstheme="minorEastAsia"/>
          <w:color w:val="000000"/>
          <w:kern w:val="0"/>
          <w:sz w:val="28"/>
          <w:szCs w:val="28"/>
          <w:lang w:eastAsia="zh-CN"/>
        </w:rPr>
      </w:pPr>
      <w:r>
        <w:rPr>
          <w:rFonts w:hint="eastAsia" w:asciiTheme="minorEastAsia" w:hAnsiTheme="minorEastAsia" w:eastAsiaTheme="minorEastAsia" w:cstheme="minorEastAsia"/>
          <w:sz w:val="28"/>
          <w:szCs w:val="28"/>
          <w:lang w:eastAsia="zh-CN"/>
        </w:rPr>
        <w:t>（三）</w:t>
      </w:r>
      <w:r>
        <w:rPr>
          <w:rFonts w:hint="eastAsia" w:asciiTheme="minorEastAsia" w:hAnsiTheme="minorEastAsia" w:eastAsiaTheme="minorEastAsia" w:cstheme="minorEastAsia"/>
          <w:color w:val="000000"/>
          <w:kern w:val="0"/>
          <w:sz w:val="28"/>
          <w:szCs w:val="28"/>
        </w:rPr>
        <w:t>项目预算和绩效目标情况简介</w:t>
      </w:r>
      <w:r>
        <w:rPr>
          <w:rFonts w:hint="eastAsia" w:asciiTheme="minorEastAsia" w:hAnsiTheme="minorEastAsia" w:eastAsiaTheme="minorEastAsia" w:cstheme="minorEastAsia"/>
          <w:color w:val="000000"/>
          <w:kern w:val="0"/>
          <w:sz w:val="28"/>
          <w:szCs w:val="28"/>
          <w:lang w:eastAsia="zh-CN"/>
        </w:rPr>
        <w:t>。</w:t>
      </w:r>
    </w:p>
    <w:p>
      <w:pPr>
        <w:numPr>
          <w:ilvl w:val="0"/>
          <w:numId w:val="0"/>
        </w:numPr>
        <w:spacing w:line="620" w:lineRule="exact"/>
        <w:ind w:firstLine="560" w:firstLineChars="200"/>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sz w:val="28"/>
          <w:szCs w:val="28"/>
          <w:lang w:eastAsia="zh-CN"/>
        </w:rPr>
        <w:t>协税护税工作经费</w:t>
      </w:r>
      <w:r>
        <w:rPr>
          <w:rFonts w:hint="eastAsia" w:asciiTheme="minorEastAsia" w:hAnsiTheme="minorEastAsia" w:eastAsiaTheme="minorEastAsia" w:cstheme="minorEastAsia"/>
          <w:sz w:val="28"/>
          <w:szCs w:val="28"/>
          <w:lang w:val="en-US" w:eastAsia="zh-CN"/>
        </w:rPr>
        <w:t>6万元，农林水82.13万元，公路水路运输支出5万元</w:t>
      </w:r>
      <w:r>
        <w:rPr>
          <w:rFonts w:hint="eastAsia" w:asciiTheme="minorEastAsia" w:hAnsiTheme="minorEastAsia" w:eastAsiaTheme="minorEastAsia" w:cstheme="minorEastAsia"/>
          <w:sz w:val="28"/>
          <w:szCs w:val="28"/>
        </w:rPr>
        <w:t>。</w:t>
      </w:r>
    </w:p>
    <w:p>
      <w:pPr>
        <w:spacing w:line="620" w:lineRule="exact"/>
        <w:ind w:firstLine="562" w:firstLineChars="200"/>
        <w:rPr>
          <w:rFonts w:hint="eastAsia" w:asciiTheme="minorEastAsia" w:hAnsiTheme="minorEastAsia" w:eastAsiaTheme="minorEastAsia" w:cstheme="minorEastAsia"/>
          <w:b/>
          <w:bCs/>
          <w:color w:val="000000"/>
          <w:kern w:val="0"/>
          <w:sz w:val="28"/>
          <w:szCs w:val="28"/>
        </w:rPr>
      </w:pPr>
    </w:p>
    <w:p>
      <w:pPr>
        <w:spacing w:line="620" w:lineRule="exact"/>
        <w:ind w:firstLine="562" w:firstLineChars="200"/>
        <w:rPr>
          <w:rFonts w:hint="eastAsia" w:asciiTheme="minorEastAsia" w:hAnsiTheme="minorEastAsia" w:eastAsiaTheme="minorEastAsia" w:cstheme="minorEastAsia"/>
          <w:b/>
          <w:bCs/>
          <w:color w:val="000000"/>
          <w:kern w:val="0"/>
          <w:sz w:val="28"/>
          <w:szCs w:val="28"/>
        </w:rPr>
      </w:pPr>
      <w:r>
        <w:rPr>
          <w:rFonts w:hint="eastAsia" w:asciiTheme="minorEastAsia" w:hAnsiTheme="minorEastAsia" w:eastAsiaTheme="minorEastAsia" w:cstheme="minorEastAsia"/>
          <w:b/>
          <w:bCs/>
          <w:color w:val="000000"/>
          <w:kern w:val="0"/>
          <w:sz w:val="28"/>
          <w:szCs w:val="28"/>
        </w:rPr>
        <w:t>二、项目组织实施情况</w:t>
      </w:r>
    </w:p>
    <w:p>
      <w:pPr>
        <w:spacing w:line="620" w:lineRule="exact"/>
        <w:ind w:firstLine="560" w:firstLineChars="200"/>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我镇严格按照财务制度，规范各项经费的开支，根据项目支出的性质、范围、用途，坚持专款专用，严禁挤占挪用。我镇申报的</w:t>
      </w:r>
      <w:r>
        <w:rPr>
          <w:rFonts w:hint="eastAsia" w:asciiTheme="minorEastAsia" w:hAnsiTheme="minorEastAsia" w:eastAsiaTheme="minorEastAsia" w:cstheme="minorEastAsia"/>
          <w:color w:val="000000"/>
          <w:kern w:val="0"/>
          <w:sz w:val="28"/>
          <w:szCs w:val="28"/>
          <w:lang w:val="en-US" w:eastAsia="zh-CN"/>
        </w:rPr>
        <w:t>各</w:t>
      </w:r>
      <w:r>
        <w:rPr>
          <w:rFonts w:hint="eastAsia" w:asciiTheme="minorEastAsia" w:hAnsiTheme="minorEastAsia" w:eastAsiaTheme="minorEastAsia" w:cstheme="minorEastAsia"/>
          <w:color w:val="000000"/>
          <w:kern w:val="0"/>
          <w:sz w:val="28"/>
          <w:szCs w:val="28"/>
        </w:rPr>
        <w:t>项专项均从2018年初计划实施，并于2018年底前完成年度绩效目标。</w:t>
      </w:r>
    </w:p>
    <w:p>
      <w:pPr>
        <w:spacing w:line="620" w:lineRule="exact"/>
        <w:ind w:firstLine="560" w:firstLineChars="200"/>
        <w:rPr>
          <w:rFonts w:hint="eastAsia" w:asciiTheme="minorEastAsia" w:hAnsiTheme="minorEastAsia" w:eastAsiaTheme="minorEastAsia" w:cstheme="minorEastAsia"/>
          <w:color w:val="000000"/>
          <w:kern w:val="0"/>
          <w:sz w:val="28"/>
          <w:szCs w:val="28"/>
        </w:rPr>
      </w:pPr>
    </w:p>
    <w:p>
      <w:pPr>
        <w:spacing w:line="620" w:lineRule="exact"/>
        <w:ind w:firstLine="562" w:firstLineChars="200"/>
        <w:rPr>
          <w:rFonts w:hint="eastAsia" w:asciiTheme="minorEastAsia" w:hAnsiTheme="minorEastAsia" w:eastAsiaTheme="minorEastAsia" w:cstheme="minorEastAsia"/>
          <w:b/>
          <w:bCs/>
          <w:color w:val="000000"/>
          <w:kern w:val="0"/>
          <w:sz w:val="28"/>
          <w:szCs w:val="28"/>
        </w:rPr>
      </w:pPr>
      <w:r>
        <w:rPr>
          <w:rFonts w:hint="eastAsia" w:asciiTheme="minorEastAsia" w:hAnsiTheme="minorEastAsia" w:eastAsiaTheme="minorEastAsia" w:cstheme="minorEastAsia"/>
          <w:b/>
          <w:bCs/>
          <w:color w:val="000000"/>
          <w:kern w:val="0"/>
          <w:sz w:val="28"/>
          <w:szCs w:val="28"/>
        </w:rPr>
        <w:t>三、项目资金使用及管理情况</w:t>
      </w:r>
    </w:p>
    <w:p>
      <w:pPr>
        <w:spacing w:line="620" w:lineRule="exact"/>
        <w:ind w:firstLine="560" w:firstLineChars="200"/>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（一）项目资金分步逐项落实，做到专款专用，总投入为</w:t>
      </w:r>
      <w:r>
        <w:rPr>
          <w:rFonts w:hint="eastAsia" w:asciiTheme="minorEastAsia" w:hAnsiTheme="minorEastAsia" w:eastAsiaTheme="minorEastAsia" w:cstheme="minorEastAsia"/>
          <w:color w:val="000000"/>
          <w:kern w:val="0"/>
          <w:sz w:val="28"/>
          <w:szCs w:val="28"/>
          <w:lang w:val="en-US" w:eastAsia="zh-CN"/>
        </w:rPr>
        <w:t>93.13</w:t>
      </w:r>
      <w:r>
        <w:rPr>
          <w:rFonts w:hint="eastAsia" w:asciiTheme="minorEastAsia" w:hAnsiTheme="minorEastAsia" w:eastAsiaTheme="minorEastAsia" w:cstheme="minorEastAsia"/>
          <w:color w:val="000000"/>
          <w:kern w:val="0"/>
          <w:sz w:val="28"/>
          <w:szCs w:val="28"/>
        </w:rPr>
        <w:t>万元。</w:t>
      </w:r>
    </w:p>
    <w:p>
      <w:pPr>
        <w:spacing w:line="620" w:lineRule="exact"/>
        <w:ind w:firstLine="560" w:firstLineChars="200"/>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（二）项目资金按年度工作目标做好各专项资金使用计划，已全部执行到位。</w:t>
      </w:r>
    </w:p>
    <w:p>
      <w:pPr>
        <w:spacing w:line="620" w:lineRule="exact"/>
        <w:ind w:firstLine="560" w:firstLineChars="200"/>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（三）项目资金管理严格遵守相关管理制度、办法执行，以发挥专项资金的最大效益。</w:t>
      </w:r>
    </w:p>
    <w:p>
      <w:pPr>
        <w:spacing w:line="620" w:lineRule="exact"/>
        <w:ind w:firstLine="562" w:firstLineChars="200"/>
        <w:rPr>
          <w:rFonts w:hint="eastAsia" w:asciiTheme="minorEastAsia" w:hAnsiTheme="minorEastAsia" w:eastAsiaTheme="minorEastAsia" w:cstheme="minorEastAsia"/>
          <w:b/>
          <w:bCs/>
          <w:color w:val="000000"/>
          <w:kern w:val="0"/>
          <w:sz w:val="28"/>
          <w:szCs w:val="28"/>
        </w:rPr>
      </w:pPr>
    </w:p>
    <w:p>
      <w:pPr>
        <w:spacing w:line="620" w:lineRule="exact"/>
        <w:ind w:firstLine="562" w:firstLineChars="200"/>
        <w:rPr>
          <w:rFonts w:hint="eastAsia" w:asciiTheme="minorEastAsia" w:hAnsiTheme="minorEastAsia" w:eastAsiaTheme="minorEastAsia" w:cstheme="minorEastAsia"/>
          <w:b/>
          <w:bCs/>
          <w:color w:val="000000"/>
          <w:kern w:val="0"/>
          <w:sz w:val="28"/>
          <w:szCs w:val="28"/>
        </w:rPr>
      </w:pPr>
      <w:r>
        <w:rPr>
          <w:rFonts w:hint="eastAsia" w:asciiTheme="minorEastAsia" w:hAnsiTheme="minorEastAsia" w:eastAsiaTheme="minorEastAsia" w:cstheme="minorEastAsia"/>
          <w:b/>
          <w:bCs/>
          <w:color w:val="000000"/>
          <w:kern w:val="0"/>
          <w:sz w:val="28"/>
          <w:szCs w:val="28"/>
        </w:rPr>
        <w:t>四、项目绩效指标完成情况</w:t>
      </w:r>
    </w:p>
    <w:p>
      <w:pPr>
        <w:spacing w:line="540" w:lineRule="exact"/>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2018年度</w:t>
      </w:r>
      <w:r>
        <w:rPr>
          <w:rFonts w:hint="eastAsia" w:asciiTheme="minorEastAsia" w:hAnsiTheme="minorEastAsia" w:eastAsiaTheme="minorEastAsia" w:cstheme="minorEastAsia"/>
          <w:sz w:val="28"/>
          <w:szCs w:val="28"/>
        </w:rPr>
        <w:t>项目专项经费支出</w:t>
      </w:r>
      <w:r>
        <w:rPr>
          <w:rFonts w:hint="eastAsia" w:asciiTheme="minorEastAsia" w:hAnsiTheme="minorEastAsia" w:eastAsiaTheme="minorEastAsia" w:cstheme="minorEastAsia"/>
          <w:sz w:val="28"/>
          <w:szCs w:val="28"/>
          <w:lang w:val="en-US" w:eastAsia="zh-CN"/>
        </w:rPr>
        <w:t>93.13</w:t>
      </w:r>
      <w:r>
        <w:rPr>
          <w:rFonts w:hint="eastAsia" w:asciiTheme="minorEastAsia" w:hAnsiTheme="minorEastAsia" w:eastAsiaTheme="minorEastAsia" w:cstheme="minorEastAsia"/>
          <w:sz w:val="28"/>
          <w:szCs w:val="28"/>
        </w:rPr>
        <w:t>万元</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其中</w:t>
      </w:r>
      <w:r>
        <w:rPr>
          <w:rFonts w:hint="eastAsia" w:asciiTheme="minorEastAsia" w:hAnsiTheme="minorEastAsia" w:eastAsiaTheme="minorEastAsia" w:cstheme="minorEastAsia"/>
          <w:sz w:val="28"/>
          <w:szCs w:val="28"/>
          <w:lang w:eastAsia="zh-CN"/>
        </w:rPr>
        <w:t>协税护税工作经费</w:t>
      </w:r>
      <w:r>
        <w:rPr>
          <w:rFonts w:hint="eastAsia" w:asciiTheme="minorEastAsia" w:hAnsiTheme="minorEastAsia" w:eastAsiaTheme="minorEastAsia" w:cstheme="minorEastAsia"/>
          <w:sz w:val="28"/>
          <w:szCs w:val="28"/>
          <w:lang w:val="en-US" w:eastAsia="zh-CN"/>
        </w:rPr>
        <w:t>6万元，农林水82.13万元，公路水路运输支出5万元。</w:t>
      </w:r>
    </w:p>
    <w:p>
      <w:pPr>
        <w:spacing w:line="540" w:lineRule="exact"/>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各项目实施后实现了预定的绩效目标，项目依据充分，并且目标明确，预定目标设置合理，符合要求。</w:t>
      </w:r>
    </w:p>
    <w:p>
      <w:pPr>
        <w:spacing w:line="540" w:lineRule="exact"/>
        <w:ind w:firstLine="560" w:firstLineChars="200"/>
        <w:rPr>
          <w:rFonts w:hint="eastAsia" w:asciiTheme="minorEastAsia" w:hAnsiTheme="minorEastAsia" w:eastAsiaTheme="minorEastAsia" w:cstheme="minorEastAsia"/>
          <w:sz w:val="28"/>
          <w:szCs w:val="28"/>
          <w:lang w:val="en-US" w:eastAsia="zh-CN"/>
        </w:rPr>
      </w:pPr>
    </w:p>
    <w:p>
      <w:pPr>
        <w:numPr>
          <w:ilvl w:val="0"/>
          <w:numId w:val="2"/>
        </w:numPr>
        <w:spacing w:line="540" w:lineRule="exact"/>
        <w:ind w:firstLine="562" w:firstLineChars="200"/>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绩效目标未完成原因和下一步改进措施</w:t>
      </w:r>
    </w:p>
    <w:p>
      <w:pPr>
        <w:spacing w:line="540" w:lineRule="exact"/>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无</w:t>
      </w:r>
    </w:p>
    <w:p>
      <w:pPr>
        <w:spacing w:line="540" w:lineRule="exact"/>
        <w:ind w:firstLine="560" w:firstLineChars="200"/>
        <w:rPr>
          <w:rFonts w:hint="eastAsia" w:asciiTheme="minorEastAsia" w:hAnsiTheme="minorEastAsia" w:eastAsiaTheme="minorEastAsia" w:cstheme="minorEastAsia"/>
          <w:sz w:val="28"/>
          <w:szCs w:val="28"/>
          <w:lang w:val="en-US" w:eastAsia="zh-CN"/>
        </w:rPr>
      </w:pPr>
    </w:p>
    <w:p>
      <w:pPr>
        <w:numPr>
          <w:ilvl w:val="0"/>
          <w:numId w:val="2"/>
        </w:numPr>
        <w:spacing w:line="540" w:lineRule="exact"/>
        <w:ind w:left="0" w:leftChars="0" w:firstLine="562" w:firstLineChars="200"/>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绩效自评得分等级结果及拟应用和公开情况</w:t>
      </w:r>
    </w:p>
    <w:p>
      <w:pPr>
        <w:numPr>
          <w:ilvl w:val="0"/>
          <w:numId w:val="0"/>
        </w:numPr>
        <w:spacing w:line="540" w:lineRule="exact"/>
        <w:ind w:leftChars="200" w:firstLine="560" w:firstLineChars="200"/>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Cs/>
          <w:sz w:val="28"/>
          <w:szCs w:val="28"/>
        </w:rPr>
        <w:t>项目资金严格按照财务管理规定执行，大部分下拨及时，使用科目合理，程序合法，确保了项目的顺利完成。本项目综合考评得分为96分，评价等级确定为优。</w:t>
      </w:r>
    </w:p>
    <w:p>
      <w:pPr>
        <w:numPr>
          <w:ilvl w:val="0"/>
          <w:numId w:val="0"/>
        </w:numPr>
        <w:spacing w:line="620" w:lineRule="exact"/>
        <w:ind w:leftChars="200"/>
        <w:rPr>
          <w:rFonts w:hint="eastAsia" w:asciiTheme="minorEastAsia" w:hAnsiTheme="minorEastAsia" w:eastAsiaTheme="minorEastAsia" w:cstheme="minorEastAsia"/>
          <w:b/>
          <w:bCs/>
          <w:color w:val="000000"/>
          <w:kern w:val="0"/>
          <w:sz w:val="28"/>
          <w:szCs w:val="28"/>
        </w:rPr>
      </w:pPr>
    </w:p>
    <w:p>
      <w:pPr>
        <w:numPr>
          <w:ilvl w:val="0"/>
          <w:numId w:val="2"/>
        </w:numPr>
        <w:spacing w:line="620" w:lineRule="exact"/>
        <w:ind w:left="0" w:leftChars="0" w:firstLine="562" w:firstLineChars="200"/>
        <w:rPr>
          <w:rFonts w:hint="eastAsia" w:asciiTheme="minorEastAsia" w:hAnsiTheme="minorEastAsia" w:eastAsiaTheme="minorEastAsia" w:cstheme="minorEastAsia"/>
          <w:b/>
          <w:bCs/>
          <w:color w:val="000000"/>
          <w:kern w:val="0"/>
          <w:sz w:val="28"/>
          <w:szCs w:val="28"/>
        </w:rPr>
      </w:pPr>
      <w:r>
        <w:rPr>
          <w:rFonts w:hint="eastAsia" w:asciiTheme="minorEastAsia" w:hAnsiTheme="minorEastAsia" w:eastAsiaTheme="minorEastAsia" w:cstheme="minorEastAsia"/>
          <w:b/>
          <w:bCs/>
          <w:sz w:val="28"/>
          <w:szCs w:val="28"/>
        </w:rPr>
        <w:t>绩效自评工作的经验、问题和建议。</w:t>
      </w:r>
      <w:r>
        <w:rPr>
          <w:rFonts w:hint="eastAsia" w:asciiTheme="minorEastAsia" w:hAnsiTheme="minorEastAsia" w:eastAsiaTheme="minorEastAsia" w:cstheme="minorEastAsia"/>
          <w:b/>
          <w:bCs/>
          <w:color w:val="000000"/>
          <w:kern w:val="0"/>
          <w:sz w:val="28"/>
          <w:szCs w:val="28"/>
        </w:rPr>
        <w:t>主要包括资金安排、使用过程中的经验、做法、存在的问题、改进措施和有关建议等。</w:t>
      </w:r>
    </w:p>
    <w:p>
      <w:pPr>
        <w:spacing w:line="620" w:lineRule="exact"/>
        <w:ind w:firstLine="560" w:firstLineChars="20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lang w:val="en-US" w:eastAsia="zh-CN"/>
        </w:rPr>
        <w:t xml:space="preserve"> </w:t>
      </w:r>
      <w:r>
        <w:rPr>
          <w:rFonts w:hint="eastAsia" w:asciiTheme="minorEastAsia" w:hAnsiTheme="minorEastAsia" w:eastAsiaTheme="minorEastAsia" w:cstheme="minorEastAsia"/>
          <w:bCs/>
          <w:sz w:val="28"/>
          <w:szCs w:val="28"/>
        </w:rPr>
        <w:t>1、项目实施的经验。明确项目发展的方向，紧密结合区政府的中心工作及我</w:t>
      </w:r>
      <w:r>
        <w:rPr>
          <w:rFonts w:hint="eastAsia" w:asciiTheme="minorEastAsia" w:hAnsiTheme="minorEastAsia" w:eastAsiaTheme="minorEastAsia" w:cstheme="minorEastAsia"/>
          <w:bCs/>
          <w:sz w:val="28"/>
          <w:szCs w:val="28"/>
          <w:lang w:eastAsia="zh-CN"/>
        </w:rPr>
        <w:t>镇</w:t>
      </w:r>
      <w:r>
        <w:rPr>
          <w:rFonts w:hint="eastAsia" w:asciiTheme="minorEastAsia" w:hAnsiTheme="minorEastAsia" w:eastAsiaTheme="minorEastAsia" w:cstheme="minorEastAsia"/>
          <w:bCs/>
          <w:sz w:val="28"/>
          <w:szCs w:val="28"/>
        </w:rPr>
        <w:t>的实际情况，项目成果要能惠及民众，造福百姓；整合各方资源，形成合力优势，提升项目实施的技术水平；对不能按要求组织实施，预期绩效目标较差的项目，及时进行协调和提出整改措施，确保项目实施工作正常运行。</w:t>
      </w:r>
    </w:p>
    <w:p>
      <w:pPr>
        <w:spacing w:line="620" w:lineRule="exact"/>
        <w:ind w:firstLine="560" w:firstLineChars="20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2、存在的问题。专项资金来源渠道少，使得专项项目进展缓慢，不适应现代化城镇建设的新需求；资金压力大。</w:t>
      </w:r>
    </w:p>
    <w:p>
      <w:pPr>
        <w:spacing w:line="620" w:lineRule="exact"/>
        <w:ind w:firstLine="560" w:firstLineChars="200"/>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3、建议。完善管理机制，明确责任；拓宽资金来源渠道，增加基础设施建设投入。</w:t>
      </w:r>
    </w:p>
    <w:p>
      <w:pPr>
        <w:numPr>
          <w:ilvl w:val="0"/>
          <w:numId w:val="0"/>
        </w:numPr>
        <w:spacing w:line="620" w:lineRule="exact"/>
        <w:ind w:leftChars="200"/>
        <w:rPr>
          <w:rFonts w:hint="eastAsia" w:asciiTheme="minorEastAsia" w:hAnsiTheme="minorEastAsia" w:eastAsiaTheme="minorEastAsia" w:cstheme="minorEastAsia"/>
          <w:b/>
          <w:bCs/>
          <w:color w:val="000000"/>
          <w:kern w:val="0"/>
          <w:sz w:val="28"/>
          <w:szCs w:val="28"/>
        </w:rPr>
      </w:pPr>
    </w:p>
    <w:p>
      <w:pPr>
        <w:numPr>
          <w:ilvl w:val="0"/>
          <w:numId w:val="2"/>
        </w:numPr>
        <w:spacing w:line="540" w:lineRule="exact"/>
        <w:ind w:left="0" w:leftChars="0" w:firstLine="562" w:firstLineChars="200"/>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其他需说明的问题。</w:t>
      </w:r>
    </w:p>
    <w:p>
      <w:pPr>
        <w:spacing w:line="620" w:lineRule="exact"/>
        <w:ind w:firstLine="560" w:firstLineChars="200"/>
        <w:rPr>
          <w:rFonts w:hint="eastAsia" w:asciiTheme="minorEastAsia" w:hAnsiTheme="minorEastAsia" w:eastAsiaTheme="minorEastAsia" w:cstheme="minorEastAsia"/>
          <w:bCs/>
          <w:sz w:val="28"/>
          <w:szCs w:val="28"/>
          <w:lang w:eastAsia="zh-CN"/>
        </w:rPr>
      </w:pPr>
      <w:r>
        <w:rPr>
          <w:rFonts w:hint="eastAsia" w:asciiTheme="minorEastAsia" w:hAnsiTheme="minorEastAsia" w:eastAsiaTheme="minorEastAsia" w:cstheme="minorEastAsia"/>
          <w:bCs/>
          <w:sz w:val="28"/>
          <w:szCs w:val="28"/>
          <w:lang w:eastAsia="zh-CN"/>
        </w:rPr>
        <w:t>无</w:t>
      </w:r>
    </w:p>
    <w:p>
      <w:pPr>
        <w:spacing w:line="540" w:lineRule="exact"/>
        <w:ind w:firstLine="640" w:firstLineChars="200"/>
        <w:rPr>
          <w:rFonts w:hint="eastAsia" w:ascii="黑体" w:hAnsi="黑体" w:eastAsia="黑体" w:cs="黑体"/>
          <w:bCs/>
          <w:sz w:val="32"/>
          <w:szCs w:val="32"/>
        </w:rPr>
      </w:pPr>
    </w:p>
    <w:p>
      <w:pPr>
        <w:widowControl/>
        <w:spacing w:line="560" w:lineRule="exact"/>
        <w:rPr>
          <w:rFonts w:hint="eastAsia" w:ascii="黑体" w:hAnsi="宋体" w:eastAsia="黑体" w:cs="宋体"/>
          <w:bCs/>
          <w:kern w:val="0"/>
          <w:sz w:val="32"/>
          <w:szCs w:val="32"/>
        </w:rPr>
      </w:pPr>
    </w:p>
    <w:p>
      <w:pPr>
        <w:widowControl/>
        <w:spacing w:line="560" w:lineRule="exact"/>
        <w:rPr>
          <w:rFonts w:hint="eastAsia" w:ascii="黑体" w:hAnsi="宋体" w:eastAsia="黑体" w:cs="宋体"/>
          <w:bCs/>
          <w:kern w:val="0"/>
          <w:sz w:val="32"/>
          <w:szCs w:val="32"/>
        </w:rPr>
      </w:pPr>
    </w:p>
    <w:p>
      <w:pPr>
        <w:widowControl/>
        <w:spacing w:line="560" w:lineRule="exact"/>
        <w:rPr>
          <w:rFonts w:hint="eastAsia" w:ascii="黑体" w:hAnsi="宋体" w:eastAsia="黑体" w:cs="宋体"/>
          <w:bCs/>
          <w:kern w:val="0"/>
          <w:sz w:val="32"/>
          <w:szCs w:val="32"/>
        </w:rPr>
      </w:pPr>
    </w:p>
    <w:p>
      <w:pPr>
        <w:widowControl/>
        <w:spacing w:line="560" w:lineRule="exact"/>
        <w:rPr>
          <w:rFonts w:hint="eastAsia" w:ascii="黑体" w:hAnsi="宋体" w:eastAsia="黑体" w:cs="宋体"/>
          <w:bCs/>
          <w:kern w:val="0"/>
          <w:sz w:val="32"/>
          <w:szCs w:val="32"/>
        </w:rPr>
      </w:pPr>
    </w:p>
    <w:p>
      <w:pPr>
        <w:spacing w:line="660" w:lineRule="exact"/>
        <w:ind w:firstLine="862" w:firstLineChars="196"/>
        <w:jc w:val="center"/>
        <w:rPr>
          <w:rFonts w:hint="eastAsia" w:ascii="仿宋_GB2312" w:eastAsia="仿宋_GB2312"/>
          <w:sz w:val="32"/>
          <w:szCs w:val="32"/>
          <w:lang w:eastAsia="zh-CN"/>
        </w:rPr>
      </w:pPr>
      <w:bookmarkStart w:id="0" w:name="_GoBack"/>
      <w:bookmarkEnd w:id="0"/>
      <w:r>
        <w:rPr>
          <w:rFonts w:hint="eastAsia" w:eastAsia="方正小标宋_GBK"/>
          <w:kern w:val="0"/>
          <w:sz w:val="44"/>
          <w:szCs w:val="44"/>
          <w:lang w:eastAsia="zh-CN"/>
        </w:rPr>
        <w:t>伊塘镇人民政府</w:t>
      </w:r>
    </w:p>
    <w:p>
      <w:pPr>
        <w:widowControl/>
        <w:jc w:val="both"/>
        <w:rPr>
          <w:rFonts w:eastAsia="方正小标宋_GBK"/>
          <w:kern w:val="0"/>
          <w:sz w:val="44"/>
          <w:szCs w:val="44"/>
        </w:rPr>
      </w:pPr>
      <w:r>
        <w:rPr>
          <w:rFonts w:hint="eastAsia" w:eastAsia="方正小标宋_GBK"/>
          <w:kern w:val="0"/>
          <w:sz w:val="44"/>
          <w:szCs w:val="44"/>
        </w:rPr>
        <w:t>2018</w:t>
      </w:r>
      <w:r>
        <w:rPr>
          <w:rFonts w:hint="eastAsia" w:ascii="宋体" w:hAnsi="宋体" w:cs="宋体"/>
          <w:kern w:val="0"/>
          <w:sz w:val="44"/>
          <w:szCs w:val="44"/>
        </w:rPr>
        <w:t>年度</w:t>
      </w:r>
      <w:r>
        <w:rPr>
          <w:rFonts w:hint="eastAsia" w:eastAsia="方正小标宋_GBK"/>
          <w:kern w:val="0"/>
          <w:sz w:val="44"/>
          <w:szCs w:val="44"/>
        </w:rPr>
        <w:t>财政专项（项目）资金绩效评价表</w:t>
      </w:r>
    </w:p>
    <w:tbl>
      <w:tblPr>
        <w:tblStyle w:val="2"/>
        <w:tblW w:w="10608" w:type="dxa"/>
        <w:jc w:val="center"/>
        <w:tblInd w:w="-729" w:type="dxa"/>
        <w:tblLayout w:type="fixed"/>
        <w:tblCellMar>
          <w:top w:w="0" w:type="dxa"/>
          <w:left w:w="108" w:type="dxa"/>
          <w:bottom w:w="0" w:type="dxa"/>
          <w:right w:w="108" w:type="dxa"/>
        </w:tblCellMar>
      </w:tblPr>
      <w:tblGrid>
        <w:gridCol w:w="656"/>
        <w:gridCol w:w="710"/>
        <w:gridCol w:w="1275"/>
        <w:gridCol w:w="3080"/>
        <w:gridCol w:w="4502"/>
        <w:gridCol w:w="385"/>
      </w:tblGrid>
      <w:tr>
        <w:tblPrEx>
          <w:tblLayout w:type="fixed"/>
          <w:tblCellMar>
            <w:top w:w="0" w:type="dxa"/>
            <w:left w:w="108" w:type="dxa"/>
            <w:bottom w:w="0" w:type="dxa"/>
            <w:right w:w="108" w:type="dxa"/>
          </w:tblCellMar>
        </w:tblPrEx>
        <w:trPr>
          <w:tblHeader/>
          <w:jc w:val="center"/>
        </w:trPr>
        <w:tc>
          <w:tcPr>
            <w:tcW w:w="656" w:type="dxa"/>
            <w:tcBorders>
              <w:top w:val="single" w:color="auto" w:sz="4" w:space="0"/>
              <w:left w:val="single" w:color="auto" w:sz="4" w:space="0"/>
              <w:bottom w:val="nil"/>
              <w:right w:val="single" w:color="auto" w:sz="4" w:space="0"/>
            </w:tcBorders>
            <w:vAlign w:val="center"/>
          </w:tcPr>
          <w:p>
            <w:pPr>
              <w:widowControl/>
              <w:jc w:val="center"/>
              <w:rPr>
                <w:rFonts w:eastAsia="仿宋_GB2312"/>
                <w:b/>
                <w:bCs/>
                <w:color w:val="000000"/>
                <w:kern w:val="0"/>
                <w:sz w:val="20"/>
                <w:szCs w:val="20"/>
              </w:rPr>
            </w:pPr>
            <w:r>
              <w:rPr>
                <w:rFonts w:hint="eastAsia" w:eastAsia="仿宋_GB2312"/>
                <w:b/>
                <w:bCs/>
                <w:color w:val="000000"/>
                <w:kern w:val="0"/>
                <w:sz w:val="20"/>
                <w:szCs w:val="20"/>
              </w:rPr>
              <w:t>一级</w:t>
            </w:r>
          </w:p>
        </w:tc>
        <w:tc>
          <w:tcPr>
            <w:tcW w:w="710" w:type="dxa"/>
            <w:tcBorders>
              <w:top w:val="single" w:color="auto" w:sz="4" w:space="0"/>
              <w:left w:val="nil"/>
              <w:bottom w:val="nil"/>
              <w:right w:val="single" w:color="auto" w:sz="4" w:space="0"/>
            </w:tcBorders>
            <w:vAlign w:val="center"/>
          </w:tcPr>
          <w:p>
            <w:pPr>
              <w:widowControl/>
              <w:jc w:val="center"/>
              <w:rPr>
                <w:rFonts w:eastAsia="仿宋_GB2312"/>
                <w:b/>
                <w:bCs/>
                <w:color w:val="000000"/>
                <w:kern w:val="0"/>
                <w:sz w:val="20"/>
                <w:szCs w:val="20"/>
              </w:rPr>
            </w:pPr>
            <w:r>
              <w:rPr>
                <w:rFonts w:hint="eastAsia" w:eastAsia="仿宋_GB2312"/>
                <w:b/>
                <w:bCs/>
                <w:color w:val="000000"/>
                <w:kern w:val="0"/>
                <w:sz w:val="20"/>
                <w:szCs w:val="20"/>
              </w:rPr>
              <w:t>二级</w:t>
            </w:r>
          </w:p>
        </w:tc>
        <w:tc>
          <w:tcPr>
            <w:tcW w:w="1275"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eastAsia="仿宋_GB2312"/>
                <w:b/>
                <w:bCs/>
                <w:color w:val="000000"/>
                <w:kern w:val="0"/>
                <w:sz w:val="20"/>
                <w:szCs w:val="20"/>
              </w:rPr>
            </w:pPr>
            <w:r>
              <w:rPr>
                <w:rFonts w:hint="eastAsia" w:eastAsia="仿宋_GB2312"/>
                <w:b/>
                <w:bCs/>
                <w:color w:val="000000"/>
                <w:kern w:val="0"/>
                <w:sz w:val="20"/>
                <w:szCs w:val="20"/>
              </w:rPr>
              <w:t>三级指标</w:t>
            </w:r>
          </w:p>
        </w:tc>
        <w:tc>
          <w:tcPr>
            <w:tcW w:w="3080"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eastAsia="仿宋_GB2312"/>
                <w:b/>
                <w:bCs/>
                <w:color w:val="000000"/>
                <w:kern w:val="0"/>
                <w:sz w:val="20"/>
                <w:szCs w:val="20"/>
              </w:rPr>
            </w:pPr>
            <w:r>
              <w:rPr>
                <w:rFonts w:hint="eastAsia" w:eastAsia="仿宋_GB2312"/>
                <w:b/>
                <w:bCs/>
                <w:color w:val="000000"/>
                <w:kern w:val="0"/>
                <w:sz w:val="20"/>
                <w:szCs w:val="20"/>
              </w:rPr>
              <w:t>指标解释</w:t>
            </w:r>
          </w:p>
        </w:tc>
        <w:tc>
          <w:tcPr>
            <w:tcW w:w="4502"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eastAsia="仿宋_GB2312"/>
                <w:b/>
                <w:bCs/>
                <w:color w:val="000000"/>
                <w:kern w:val="0"/>
                <w:sz w:val="20"/>
                <w:szCs w:val="20"/>
              </w:rPr>
            </w:pPr>
            <w:r>
              <w:rPr>
                <w:rFonts w:hint="eastAsia" w:eastAsia="仿宋_GB2312"/>
                <w:b/>
                <w:bCs/>
                <w:color w:val="000000"/>
                <w:kern w:val="0"/>
                <w:sz w:val="20"/>
                <w:szCs w:val="20"/>
              </w:rPr>
              <w:t>指标说明</w:t>
            </w:r>
          </w:p>
        </w:tc>
        <w:tc>
          <w:tcPr>
            <w:tcW w:w="385" w:type="dxa"/>
            <w:vMerge w:val="restart"/>
            <w:tcBorders>
              <w:top w:val="single" w:color="auto" w:sz="4" w:space="0"/>
              <w:left w:val="single" w:color="auto" w:sz="4" w:space="0"/>
              <w:right w:val="single" w:color="auto" w:sz="4" w:space="0"/>
            </w:tcBorders>
            <w:vAlign w:val="center"/>
          </w:tcPr>
          <w:p>
            <w:pPr>
              <w:widowControl/>
              <w:jc w:val="center"/>
              <w:rPr>
                <w:rFonts w:eastAsia="仿宋_GB2312"/>
                <w:b/>
                <w:bCs/>
                <w:color w:val="000000"/>
                <w:kern w:val="0"/>
                <w:sz w:val="20"/>
                <w:szCs w:val="20"/>
              </w:rPr>
            </w:pPr>
            <w:r>
              <w:rPr>
                <w:rFonts w:hint="eastAsia" w:eastAsia="仿宋_GB2312"/>
                <w:b/>
                <w:bCs/>
                <w:color w:val="000000"/>
                <w:kern w:val="0"/>
                <w:sz w:val="20"/>
                <w:szCs w:val="20"/>
              </w:rPr>
              <w:t>得分</w:t>
            </w:r>
          </w:p>
        </w:tc>
      </w:tr>
      <w:tr>
        <w:tblPrEx>
          <w:tblLayout w:type="fixed"/>
          <w:tblCellMar>
            <w:top w:w="0" w:type="dxa"/>
            <w:left w:w="108" w:type="dxa"/>
            <w:bottom w:w="0" w:type="dxa"/>
            <w:right w:w="108" w:type="dxa"/>
          </w:tblCellMar>
        </w:tblPrEx>
        <w:trPr>
          <w:trHeight w:val="391" w:hRule="atLeast"/>
          <w:tblHeader/>
          <w:jc w:val="center"/>
        </w:trPr>
        <w:tc>
          <w:tcPr>
            <w:tcW w:w="656" w:type="dxa"/>
            <w:tcBorders>
              <w:top w:val="nil"/>
              <w:left w:val="single" w:color="auto" w:sz="4" w:space="0"/>
              <w:bottom w:val="single" w:color="auto" w:sz="4" w:space="0"/>
              <w:right w:val="single" w:color="auto" w:sz="4" w:space="0"/>
            </w:tcBorders>
            <w:vAlign w:val="center"/>
          </w:tcPr>
          <w:p>
            <w:pPr>
              <w:widowControl/>
              <w:jc w:val="center"/>
              <w:rPr>
                <w:rFonts w:eastAsia="仿宋_GB2312"/>
                <w:b/>
                <w:bCs/>
                <w:color w:val="000000"/>
                <w:kern w:val="0"/>
                <w:sz w:val="20"/>
                <w:szCs w:val="20"/>
              </w:rPr>
            </w:pPr>
            <w:r>
              <w:rPr>
                <w:rFonts w:hint="eastAsia" w:eastAsia="仿宋_GB2312"/>
                <w:b/>
                <w:bCs/>
                <w:color w:val="000000"/>
                <w:kern w:val="0"/>
                <w:sz w:val="20"/>
                <w:szCs w:val="20"/>
              </w:rPr>
              <w:t>指标</w:t>
            </w:r>
          </w:p>
        </w:tc>
        <w:tc>
          <w:tcPr>
            <w:tcW w:w="710" w:type="dxa"/>
            <w:tcBorders>
              <w:top w:val="nil"/>
              <w:left w:val="nil"/>
              <w:bottom w:val="single" w:color="auto" w:sz="4" w:space="0"/>
              <w:right w:val="single" w:color="auto" w:sz="4" w:space="0"/>
            </w:tcBorders>
            <w:vAlign w:val="center"/>
          </w:tcPr>
          <w:p>
            <w:pPr>
              <w:widowControl/>
              <w:jc w:val="center"/>
              <w:rPr>
                <w:rFonts w:eastAsia="仿宋_GB2312"/>
                <w:b/>
                <w:bCs/>
                <w:color w:val="000000"/>
                <w:kern w:val="0"/>
                <w:sz w:val="20"/>
                <w:szCs w:val="20"/>
              </w:rPr>
            </w:pPr>
            <w:r>
              <w:rPr>
                <w:rFonts w:hint="eastAsia" w:eastAsia="仿宋_GB2312"/>
                <w:b/>
                <w:bCs/>
                <w:color w:val="000000"/>
                <w:kern w:val="0"/>
                <w:sz w:val="20"/>
                <w:szCs w:val="20"/>
              </w:rPr>
              <w:t>指标</w:t>
            </w:r>
          </w:p>
        </w:tc>
        <w:tc>
          <w:tcPr>
            <w:tcW w:w="1275"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eastAsia="仿宋_GB2312"/>
                <w:b/>
                <w:bCs/>
                <w:color w:val="000000"/>
                <w:kern w:val="0"/>
                <w:sz w:val="20"/>
                <w:szCs w:val="20"/>
              </w:rPr>
            </w:pPr>
          </w:p>
        </w:tc>
        <w:tc>
          <w:tcPr>
            <w:tcW w:w="308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eastAsia="仿宋_GB2312"/>
                <w:b/>
                <w:bCs/>
                <w:color w:val="000000"/>
                <w:kern w:val="0"/>
                <w:sz w:val="20"/>
                <w:szCs w:val="20"/>
              </w:rPr>
            </w:pPr>
          </w:p>
        </w:tc>
        <w:tc>
          <w:tcPr>
            <w:tcW w:w="4502"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eastAsia="仿宋_GB2312"/>
                <w:b/>
                <w:bCs/>
                <w:color w:val="000000"/>
                <w:kern w:val="0"/>
                <w:sz w:val="20"/>
                <w:szCs w:val="20"/>
              </w:rPr>
            </w:pPr>
          </w:p>
        </w:tc>
        <w:tc>
          <w:tcPr>
            <w:tcW w:w="385" w:type="dxa"/>
            <w:vMerge w:val="continue"/>
            <w:tcBorders>
              <w:left w:val="single" w:color="auto" w:sz="4" w:space="0"/>
              <w:bottom w:val="single" w:color="000000" w:sz="4" w:space="0"/>
              <w:right w:val="single" w:color="auto" w:sz="4" w:space="0"/>
            </w:tcBorders>
          </w:tcPr>
          <w:p>
            <w:pPr>
              <w:widowControl/>
              <w:jc w:val="left"/>
              <w:rPr>
                <w:rFonts w:eastAsia="仿宋_GB2312"/>
                <w:b/>
                <w:bCs/>
                <w:color w:val="000000"/>
                <w:kern w:val="0"/>
                <w:sz w:val="20"/>
                <w:szCs w:val="20"/>
              </w:rPr>
            </w:pPr>
          </w:p>
        </w:tc>
      </w:tr>
      <w:tr>
        <w:tblPrEx>
          <w:tblLayout w:type="fixed"/>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投入</w:t>
            </w:r>
          </w:p>
          <w:p>
            <w:pPr>
              <w:widowControl/>
              <w:spacing w:line="280" w:lineRule="exact"/>
              <w:jc w:val="center"/>
              <w:rPr>
                <w:rFonts w:ascii="宋体"/>
                <w:color w:val="000000"/>
                <w:kern w:val="0"/>
                <w:sz w:val="24"/>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20</w:t>
            </w:r>
            <w:r>
              <w:rPr>
                <w:rFonts w:hint="eastAsia" w:ascii="仿宋_GB2312" w:hAnsi="宋体" w:eastAsia="仿宋_GB2312"/>
                <w:color w:val="000000"/>
                <w:kern w:val="0"/>
                <w:sz w:val="20"/>
                <w:szCs w:val="20"/>
              </w:rPr>
              <w:t>分）</w:t>
            </w:r>
          </w:p>
        </w:tc>
        <w:tc>
          <w:tcPr>
            <w:tcW w:w="71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项目立项</w:t>
            </w:r>
          </w:p>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12</w:t>
            </w:r>
            <w:r>
              <w:rPr>
                <w:rFonts w:hint="eastAsia" w:ascii="仿宋_GB2312" w:hAnsi="宋体" w:eastAsia="仿宋_GB2312"/>
                <w:color w:val="000000"/>
                <w:kern w:val="0"/>
                <w:sz w:val="20"/>
                <w:szCs w:val="20"/>
              </w:rPr>
              <w:t>分）</w:t>
            </w:r>
          </w:p>
        </w:tc>
        <w:tc>
          <w:tcPr>
            <w:tcW w:w="127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项目立项规范性</w:t>
            </w:r>
          </w:p>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4</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项目的申请、设立过程是否符合相关要求，用以反映和考核项目立项的规范情况。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tcPr>
          <w:p>
            <w:pPr>
              <w:widowControl/>
              <w:spacing w:line="280" w:lineRule="exact"/>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①项目是否按照规定的程序申请设立；</w:t>
            </w:r>
          </w:p>
        </w:tc>
        <w:tc>
          <w:tcPr>
            <w:tcW w:w="385" w:type="dxa"/>
            <w:tcBorders>
              <w:top w:val="nil"/>
              <w:left w:val="nil"/>
              <w:bottom w:val="nil"/>
              <w:right w:val="single" w:color="auto" w:sz="4" w:space="0"/>
            </w:tcBorders>
          </w:tcPr>
          <w:p>
            <w:pPr>
              <w:widowControl/>
              <w:spacing w:line="280" w:lineRule="exact"/>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②所提交的文件、材料是否符合相关要求；</w:t>
            </w:r>
          </w:p>
        </w:tc>
        <w:tc>
          <w:tcPr>
            <w:tcW w:w="385" w:type="dxa"/>
            <w:tcBorders>
              <w:top w:val="nil"/>
              <w:left w:val="nil"/>
              <w:bottom w:val="nil"/>
              <w:right w:val="single" w:color="auto" w:sz="4" w:space="0"/>
            </w:tcBorders>
          </w:tcPr>
          <w:p>
            <w:pPr>
              <w:widowControl/>
              <w:spacing w:line="280" w:lineRule="exact"/>
              <w:rPr>
                <w:rFonts w:ascii="宋体"/>
                <w:color w:val="000000"/>
                <w:kern w:val="0"/>
                <w:sz w:val="24"/>
              </w:rPr>
            </w:pPr>
          </w:p>
        </w:tc>
      </w:tr>
      <w:tr>
        <w:tblPrEx>
          <w:tblLayout w:type="fixed"/>
          <w:tblCellMar>
            <w:top w:w="0" w:type="dxa"/>
            <w:left w:w="108" w:type="dxa"/>
            <w:bottom w:w="0" w:type="dxa"/>
            <w:right w:w="108" w:type="dxa"/>
          </w:tblCellMar>
        </w:tblPrEx>
        <w:trPr>
          <w:trHeight w:val="948"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③事前是否已经过必要的可行性研究、专家论证、风险评估、集体决策等。</w:t>
            </w:r>
          </w:p>
        </w:tc>
        <w:tc>
          <w:tcPr>
            <w:tcW w:w="385" w:type="dxa"/>
            <w:tcBorders>
              <w:top w:val="nil"/>
              <w:left w:val="nil"/>
              <w:bottom w:val="single" w:color="auto" w:sz="4" w:space="0"/>
              <w:right w:val="single" w:color="auto" w:sz="4" w:space="0"/>
            </w:tcBorders>
          </w:tcPr>
          <w:p>
            <w:pPr>
              <w:widowControl/>
              <w:spacing w:line="280" w:lineRule="exact"/>
              <w:rPr>
                <w:rFonts w:ascii="宋体"/>
                <w:color w:val="000000"/>
                <w:kern w:val="0"/>
                <w:sz w:val="24"/>
              </w:rPr>
            </w:pPr>
            <w:r>
              <w:rPr>
                <w:rFonts w:hint="eastAsia" w:ascii="宋体"/>
                <w:color w:val="000000"/>
                <w:kern w:val="0"/>
                <w:sz w:val="24"/>
              </w:rPr>
              <w:t>4</w:t>
            </w:r>
          </w:p>
        </w:tc>
      </w:tr>
      <w:tr>
        <w:tblPrEx>
          <w:tblLayout w:type="fixed"/>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绩效目标合理性</w:t>
            </w:r>
          </w:p>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4</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项目所设定的绩效目标是否依据充分，是否符合客观实际，用以反映和考核项目绩效目标与项目实施的相符情况。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tcPr>
          <w:p>
            <w:pPr>
              <w:widowControl/>
              <w:spacing w:line="280" w:lineRule="exact"/>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①是否符合国家相关法律法规，国民经济发展规划和党委政府决策；</w:t>
            </w:r>
          </w:p>
        </w:tc>
        <w:tc>
          <w:tcPr>
            <w:tcW w:w="385" w:type="dxa"/>
            <w:tcBorders>
              <w:top w:val="nil"/>
              <w:left w:val="nil"/>
              <w:bottom w:val="nil"/>
              <w:right w:val="single" w:color="auto" w:sz="4" w:space="0"/>
            </w:tcBorders>
          </w:tcPr>
          <w:p>
            <w:pPr>
              <w:widowControl/>
              <w:spacing w:line="280" w:lineRule="exact"/>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②是否与项目实施单位或委托单位职责密切相关；</w:t>
            </w:r>
          </w:p>
        </w:tc>
        <w:tc>
          <w:tcPr>
            <w:tcW w:w="385" w:type="dxa"/>
            <w:tcBorders>
              <w:top w:val="nil"/>
              <w:left w:val="nil"/>
              <w:bottom w:val="nil"/>
              <w:right w:val="single" w:color="auto" w:sz="4" w:space="0"/>
            </w:tcBorders>
          </w:tcPr>
          <w:p>
            <w:pPr>
              <w:widowControl/>
              <w:spacing w:line="280" w:lineRule="exact"/>
              <w:rPr>
                <w:rFonts w:ascii="宋体"/>
                <w:color w:val="000000"/>
                <w:kern w:val="0"/>
                <w:sz w:val="24"/>
              </w:rPr>
            </w:pPr>
            <w:r>
              <w:rPr>
                <w:rFonts w:hint="eastAsia" w:ascii="宋体"/>
                <w:color w:val="000000"/>
                <w:kern w:val="0"/>
                <w:sz w:val="24"/>
              </w:rPr>
              <w:t>4</w:t>
            </w:r>
          </w:p>
        </w:tc>
      </w:tr>
      <w:tr>
        <w:tblPrEx>
          <w:tblLayout w:type="fixed"/>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③项目是否为促进事业发展所必需；</w:t>
            </w:r>
          </w:p>
        </w:tc>
        <w:tc>
          <w:tcPr>
            <w:tcW w:w="385" w:type="dxa"/>
            <w:tcBorders>
              <w:top w:val="nil"/>
              <w:left w:val="nil"/>
              <w:bottom w:val="nil"/>
              <w:right w:val="single" w:color="auto" w:sz="4" w:space="0"/>
            </w:tcBorders>
          </w:tcPr>
          <w:p>
            <w:pPr>
              <w:widowControl/>
              <w:spacing w:line="280" w:lineRule="exact"/>
              <w:rPr>
                <w:rFonts w:ascii="宋体"/>
                <w:color w:val="000000"/>
                <w:kern w:val="0"/>
                <w:sz w:val="24"/>
              </w:rPr>
            </w:pPr>
          </w:p>
        </w:tc>
      </w:tr>
      <w:tr>
        <w:tblPrEx>
          <w:tblLayout w:type="fixed"/>
          <w:tblCellMar>
            <w:top w:w="0" w:type="dxa"/>
            <w:left w:w="108" w:type="dxa"/>
            <w:bottom w:w="0" w:type="dxa"/>
            <w:right w:w="108" w:type="dxa"/>
          </w:tblCellMar>
        </w:tblPrEx>
        <w:trPr>
          <w:trHeight w:val="826"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④项目预期产出效益和效果是否符合正常的业绩水平。</w:t>
            </w:r>
          </w:p>
          <w:p>
            <w:pPr>
              <w:widowControl/>
              <w:spacing w:line="280" w:lineRule="exact"/>
              <w:rPr>
                <w:rFonts w:ascii="仿宋_GB2312" w:hAnsi="宋体" w:eastAsia="仿宋_GB2312"/>
                <w:color w:val="000000"/>
                <w:kern w:val="0"/>
                <w:sz w:val="20"/>
                <w:szCs w:val="20"/>
              </w:rPr>
            </w:pPr>
          </w:p>
          <w:p>
            <w:pPr>
              <w:widowControl/>
              <w:spacing w:line="280" w:lineRule="exact"/>
              <w:rPr>
                <w:rFonts w:ascii="仿宋_GB2312" w:hAnsi="宋体" w:eastAsia="仿宋_GB2312"/>
                <w:color w:val="000000"/>
                <w:kern w:val="0"/>
                <w:sz w:val="20"/>
                <w:szCs w:val="20"/>
              </w:rPr>
            </w:pPr>
          </w:p>
        </w:tc>
        <w:tc>
          <w:tcPr>
            <w:tcW w:w="385" w:type="dxa"/>
            <w:tcBorders>
              <w:top w:val="nil"/>
              <w:left w:val="nil"/>
              <w:bottom w:val="single" w:color="auto" w:sz="4" w:space="0"/>
              <w:right w:val="single" w:color="auto" w:sz="4" w:space="0"/>
            </w:tcBorders>
          </w:tcPr>
          <w:p>
            <w:pPr>
              <w:widowControl/>
              <w:spacing w:line="280" w:lineRule="exact"/>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绩效指标明确性</w:t>
            </w:r>
          </w:p>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4</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依据绩效目标设定的绩效指标是否清晰、细化、可衡量等，用以反映和考核项目绩效目标的明细化情况。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tcPr>
          <w:p>
            <w:pPr>
              <w:widowControl/>
              <w:spacing w:line="280" w:lineRule="exact"/>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①是否将项目绩效目标细化分解为具体的绩效指标；</w:t>
            </w:r>
          </w:p>
        </w:tc>
        <w:tc>
          <w:tcPr>
            <w:tcW w:w="385" w:type="dxa"/>
            <w:tcBorders>
              <w:top w:val="nil"/>
              <w:left w:val="nil"/>
              <w:bottom w:val="nil"/>
              <w:right w:val="single" w:color="auto" w:sz="4" w:space="0"/>
            </w:tcBorders>
          </w:tcPr>
          <w:p>
            <w:pPr>
              <w:widowControl/>
              <w:spacing w:line="280" w:lineRule="exact"/>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②是否通过清晰、可衡量的指标值予以体现；</w:t>
            </w:r>
          </w:p>
        </w:tc>
        <w:tc>
          <w:tcPr>
            <w:tcW w:w="385" w:type="dxa"/>
            <w:tcBorders>
              <w:top w:val="nil"/>
              <w:left w:val="nil"/>
              <w:bottom w:val="nil"/>
              <w:right w:val="single" w:color="auto" w:sz="4" w:space="0"/>
            </w:tcBorders>
          </w:tcPr>
          <w:p>
            <w:pPr>
              <w:widowControl/>
              <w:spacing w:line="280" w:lineRule="exact"/>
              <w:rPr>
                <w:rFonts w:ascii="宋体"/>
                <w:color w:val="000000"/>
                <w:kern w:val="0"/>
                <w:sz w:val="24"/>
              </w:rPr>
            </w:pPr>
            <w:r>
              <w:rPr>
                <w:rFonts w:hint="eastAsia" w:ascii="宋体"/>
                <w:color w:val="000000"/>
                <w:kern w:val="0"/>
                <w:sz w:val="24"/>
              </w:rPr>
              <w:t>4</w:t>
            </w:r>
          </w:p>
        </w:tc>
      </w:tr>
      <w:tr>
        <w:tblPrEx>
          <w:tblLayout w:type="fixed"/>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③是否与项目年度任务教或计划数相对应；</w:t>
            </w:r>
          </w:p>
        </w:tc>
        <w:tc>
          <w:tcPr>
            <w:tcW w:w="385" w:type="dxa"/>
            <w:tcBorders>
              <w:top w:val="nil"/>
              <w:left w:val="nil"/>
              <w:bottom w:val="nil"/>
              <w:right w:val="single" w:color="auto" w:sz="4" w:space="0"/>
            </w:tcBorders>
          </w:tcPr>
          <w:p>
            <w:pPr>
              <w:widowControl/>
              <w:spacing w:line="280" w:lineRule="exact"/>
              <w:rPr>
                <w:rFonts w:ascii="宋体"/>
                <w:color w:val="000000"/>
                <w:kern w:val="0"/>
                <w:sz w:val="24"/>
              </w:rPr>
            </w:pPr>
          </w:p>
        </w:tc>
      </w:tr>
      <w:tr>
        <w:tblPrEx>
          <w:tblLayout w:type="fixed"/>
          <w:tblCellMar>
            <w:top w:w="0" w:type="dxa"/>
            <w:left w:w="108" w:type="dxa"/>
            <w:bottom w:w="0" w:type="dxa"/>
            <w:right w:w="108" w:type="dxa"/>
          </w:tblCellMar>
        </w:tblPrEx>
        <w:trPr>
          <w:trHeight w:val="675"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④是否与预期确定的项目投资额或资金量相匹配。</w:t>
            </w:r>
          </w:p>
          <w:p>
            <w:pPr>
              <w:widowControl/>
              <w:spacing w:line="280" w:lineRule="exact"/>
              <w:rPr>
                <w:rFonts w:ascii="仿宋_GB2312" w:hAnsi="宋体" w:eastAsia="仿宋_GB2312"/>
                <w:color w:val="000000"/>
                <w:kern w:val="0"/>
                <w:sz w:val="20"/>
                <w:szCs w:val="20"/>
              </w:rPr>
            </w:pPr>
          </w:p>
          <w:p>
            <w:pPr>
              <w:widowControl/>
              <w:spacing w:line="280" w:lineRule="exact"/>
              <w:rPr>
                <w:rFonts w:ascii="仿宋_GB2312" w:hAnsi="宋体" w:eastAsia="仿宋_GB2312"/>
                <w:color w:val="000000"/>
                <w:kern w:val="0"/>
                <w:sz w:val="20"/>
                <w:szCs w:val="20"/>
              </w:rPr>
            </w:pPr>
          </w:p>
        </w:tc>
        <w:tc>
          <w:tcPr>
            <w:tcW w:w="385" w:type="dxa"/>
            <w:tcBorders>
              <w:top w:val="nil"/>
              <w:left w:val="nil"/>
              <w:bottom w:val="single" w:color="auto" w:sz="4" w:space="0"/>
              <w:right w:val="single" w:color="auto" w:sz="4" w:space="0"/>
            </w:tcBorders>
          </w:tcPr>
          <w:p>
            <w:pPr>
              <w:widowControl/>
              <w:spacing w:line="280" w:lineRule="exact"/>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资金落实</w:t>
            </w:r>
          </w:p>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8</w:t>
            </w:r>
            <w:r>
              <w:rPr>
                <w:rFonts w:hint="eastAsia" w:ascii="仿宋_GB2312" w:hAnsi="宋体" w:eastAsia="仿宋_GB2312"/>
                <w:color w:val="000000"/>
                <w:kern w:val="0"/>
                <w:sz w:val="20"/>
                <w:szCs w:val="20"/>
              </w:rPr>
              <w:t>分）</w:t>
            </w:r>
          </w:p>
        </w:tc>
        <w:tc>
          <w:tcPr>
            <w:tcW w:w="127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资金到位率（</w:t>
            </w:r>
            <w:r>
              <w:rPr>
                <w:rFonts w:ascii="仿宋_GB2312" w:hAnsi="宋体" w:eastAsia="仿宋_GB2312"/>
                <w:color w:val="000000"/>
                <w:kern w:val="0"/>
                <w:sz w:val="20"/>
                <w:szCs w:val="20"/>
              </w:rPr>
              <w:t>4</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实际到位资金与计划投入资金的比率，用以反映和考核资金落实情况对项目实施的总体保障程度。</w:t>
            </w: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资金到位率</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（实际到位资金</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计划投入资金）×</w:t>
            </w:r>
            <w:r>
              <w:rPr>
                <w:rFonts w:ascii="仿宋_GB2312" w:hAnsi="宋体" w:eastAsia="仿宋_GB2312"/>
                <w:color w:val="000000"/>
                <w:kern w:val="0"/>
                <w:sz w:val="20"/>
                <w:szCs w:val="20"/>
              </w:rPr>
              <w:t>100%</w:t>
            </w:r>
            <w:r>
              <w:rPr>
                <w:rFonts w:hint="eastAsia" w:ascii="仿宋_GB2312" w:hAnsi="宋体" w:eastAsia="仿宋_GB2312"/>
                <w:color w:val="000000"/>
                <w:kern w:val="0"/>
                <w:sz w:val="20"/>
                <w:szCs w:val="20"/>
              </w:rPr>
              <w:t>。</w:t>
            </w:r>
          </w:p>
        </w:tc>
        <w:tc>
          <w:tcPr>
            <w:tcW w:w="385" w:type="dxa"/>
            <w:tcBorders>
              <w:top w:val="nil"/>
              <w:left w:val="nil"/>
              <w:bottom w:val="nil"/>
              <w:right w:val="single" w:color="auto" w:sz="4" w:space="0"/>
            </w:tcBorders>
          </w:tcPr>
          <w:p>
            <w:pPr>
              <w:widowControl/>
              <w:spacing w:line="280" w:lineRule="exact"/>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实际到位资金：一定时期（本年度或项目期）内实际落实到具体项目的资金。</w:t>
            </w:r>
          </w:p>
        </w:tc>
        <w:tc>
          <w:tcPr>
            <w:tcW w:w="385" w:type="dxa"/>
            <w:tcBorders>
              <w:top w:val="nil"/>
              <w:left w:val="nil"/>
              <w:bottom w:val="nil"/>
              <w:right w:val="single" w:color="auto" w:sz="4" w:space="0"/>
            </w:tcBorders>
          </w:tcPr>
          <w:p>
            <w:pPr>
              <w:widowControl/>
              <w:spacing w:line="280" w:lineRule="exact"/>
              <w:rPr>
                <w:rFonts w:ascii="宋体"/>
                <w:color w:val="000000"/>
                <w:kern w:val="0"/>
                <w:sz w:val="24"/>
              </w:rPr>
            </w:pPr>
            <w:r>
              <w:rPr>
                <w:rFonts w:hint="eastAsia" w:ascii="宋体"/>
                <w:color w:val="000000"/>
                <w:kern w:val="0"/>
                <w:sz w:val="24"/>
              </w:rPr>
              <w:t>4</w:t>
            </w:r>
          </w:p>
        </w:tc>
      </w:tr>
      <w:tr>
        <w:tblPrEx>
          <w:tblLayout w:type="fixed"/>
          <w:tblCellMar>
            <w:top w:w="0" w:type="dxa"/>
            <w:left w:w="108" w:type="dxa"/>
            <w:bottom w:w="0" w:type="dxa"/>
            <w:right w:w="108" w:type="dxa"/>
          </w:tblCellMar>
        </w:tblPrEx>
        <w:trPr>
          <w:trHeight w:val="999"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计划投入资金：一定时期（本年度或项目期）内计划投入到具体项目的资金。</w:t>
            </w:r>
          </w:p>
        </w:tc>
        <w:tc>
          <w:tcPr>
            <w:tcW w:w="385" w:type="dxa"/>
            <w:tcBorders>
              <w:top w:val="nil"/>
              <w:left w:val="nil"/>
              <w:bottom w:val="single" w:color="auto" w:sz="4" w:space="0"/>
              <w:right w:val="single" w:color="auto" w:sz="4" w:space="0"/>
            </w:tcBorders>
          </w:tcPr>
          <w:p>
            <w:pPr>
              <w:widowControl/>
              <w:spacing w:line="280" w:lineRule="exact"/>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到位及时率（</w:t>
            </w:r>
            <w:r>
              <w:rPr>
                <w:rFonts w:ascii="仿宋_GB2312" w:hAnsi="宋体" w:eastAsia="仿宋_GB2312"/>
                <w:color w:val="000000"/>
                <w:kern w:val="0"/>
                <w:sz w:val="20"/>
                <w:szCs w:val="20"/>
              </w:rPr>
              <w:t>4</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及时到位资金与应到位资金的比率，用以反映和考核项目资金落实的及时性程度。</w:t>
            </w: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到位及时率＝（及时到位资金</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应到位资金）×</w:t>
            </w:r>
            <w:r>
              <w:rPr>
                <w:rFonts w:ascii="仿宋_GB2312" w:hAnsi="宋体" w:eastAsia="仿宋_GB2312"/>
                <w:color w:val="000000"/>
                <w:kern w:val="0"/>
                <w:sz w:val="20"/>
                <w:szCs w:val="20"/>
              </w:rPr>
              <w:t>100%</w:t>
            </w:r>
            <w:r>
              <w:rPr>
                <w:rFonts w:hint="eastAsia" w:ascii="仿宋_GB2312" w:hAnsi="宋体" w:eastAsia="仿宋_GB2312"/>
                <w:color w:val="000000"/>
                <w:kern w:val="0"/>
                <w:sz w:val="20"/>
                <w:szCs w:val="20"/>
              </w:rPr>
              <w:t>。</w:t>
            </w:r>
          </w:p>
        </w:tc>
        <w:tc>
          <w:tcPr>
            <w:tcW w:w="385" w:type="dxa"/>
            <w:tcBorders>
              <w:top w:val="nil"/>
              <w:left w:val="nil"/>
              <w:bottom w:val="nil"/>
              <w:right w:val="single" w:color="auto" w:sz="4" w:space="0"/>
            </w:tcBorders>
          </w:tcPr>
          <w:p>
            <w:pPr>
              <w:widowControl/>
              <w:spacing w:line="280" w:lineRule="exact"/>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及时到位资金：截至规定时点实际落实到具体项目的资金。</w:t>
            </w:r>
          </w:p>
        </w:tc>
        <w:tc>
          <w:tcPr>
            <w:tcW w:w="385" w:type="dxa"/>
            <w:tcBorders>
              <w:top w:val="nil"/>
              <w:left w:val="nil"/>
              <w:bottom w:val="nil"/>
              <w:right w:val="single" w:color="auto" w:sz="4" w:space="0"/>
            </w:tcBorders>
          </w:tcPr>
          <w:p>
            <w:pPr>
              <w:widowControl/>
              <w:spacing w:line="280" w:lineRule="exact"/>
              <w:rPr>
                <w:rFonts w:ascii="宋体"/>
                <w:color w:val="000000"/>
                <w:kern w:val="0"/>
                <w:sz w:val="24"/>
              </w:rPr>
            </w:pPr>
            <w:r>
              <w:rPr>
                <w:rFonts w:hint="eastAsia" w:ascii="宋体"/>
                <w:color w:val="000000"/>
                <w:kern w:val="0"/>
                <w:sz w:val="24"/>
              </w:rPr>
              <w:t>4</w:t>
            </w:r>
          </w:p>
        </w:tc>
      </w:tr>
      <w:tr>
        <w:tblPrEx>
          <w:tblLayout w:type="fixed"/>
          <w:tblCellMar>
            <w:top w:w="0" w:type="dxa"/>
            <w:left w:w="108" w:type="dxa"/>
            <w:bottom w:w="0" w:type="dxa"/>
            <w:right w:w="108" w:type="dxa"/>
          </w:tblCellMar>
        </w:tblPrEx>
        <w:trPr>
          <w:trHeight w:val="1091"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应到位资金：按照合同或项目进度要求截至规定时点应落实到具体项目的资金。</w:t>
            </w:r>
          </w:p>
          <w:p>
            <w:pPr>
              <w:widowControl/>
              <w:spacing w:line="280" w:lineRule="exact"/>
              <w:rPr>
                <w:rFonts w:ascii="仿宋_GB2312" w:hAnsi="宋体" w:eastAsia="仿宋_GB2312"/>
                <w:color w:val="000000"/>
                <w:kern w:val="0"/>
                <w:sz w:val="20"/>
                <w:szCs w:val="20"/>
              </w:rPr>
            </w:pPr>
          </w:p>
        </w:tc>
        <w:tc>
          <w:tcPr>
            <w:tcW w:w="385" w:type="dxa"/>
            <w:tcBorders>
              <w:top w:val="nil"/>
              <w:left w:val="nil"/>
              <w:bottom w:val="single" w:color="auto" w:sz="4" w:space="0"/>
              <w:right w:val="single" w:color="auto" w:sz="4" w:space="0"/>
            </w:tcBorders>
          </w:tcPr>
          <w:p>
            <w:pPr>
              <w:widowControl/>
              <w:spacing w:line="280" w:lineRule="exact"/>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restart"/>
            <w:tcBorders>
              <w:top w:val="nil"/>
              <w:left w:val="single" w:color="auto" w:sz="4" w:space="0"/>
              <w:right w:val="single" w:color="auto" w:sz="4" w:space="0"/>
            </w:tcBorders>
            <w:vAlign w:val="center"/>
          </w:tcPr>
          <w:p>
            <w:pPr>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过程</w:t>
            </w:r>
          </w:p>
          <w:p>
            <w:pPr>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30</w:t>
            </w:r>
            <w:r>
              <w:rPr>
                <w:rFonts w:hint="eastAsia" w:ascii="仿宋_GB2312" w:hAnsi="宋体" w:eastAsia="仿宋_GB2312"/>
                <w:color w:val="000000"/>
                <w:kern w:val="0"/>
                <w:sz w:val="20"/>
                <w:szCs w:val="20"/>
              </w:rPr>
              <w:t>分）</w:t>
            </w:r>
          </w:p>
        </w:tc>
        <w:tc>
          <w:tcPr>
            <w:tcW w:w="710"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业务管理</w:t>
            </w:r>
          </w:p>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10</w:t>
            </w:r>
            <w:r>
              <w:rPr>
                <w:rFonts w:hint="eastAsia" w:ascii="仿宋_GB2312" w:hAnsi="宋体" w:eastAsia="仿宋_GB2312"/>
                <w:color w:val="000000"/>
                <w:kern w:val="0"/>
                <w:sz w:val="20"/>
                <w:szCs w:val="20"/>
              </w:rPr>
              <w:t>分）</w:t>
            </w:r>
          </w:p>
          <w:p>
            <w:pPr>
              <w:jc w:val="left"/>
              <w:rPr>
                <w:rFonts w:ascii="仿宋_GB2312" w:hAnsi="宋体" w:eastAsia="仿宋_GB2312"/>
                <w:color w:val="000000"/>
                <w:kern w:val="0"/>
                <w:sz w:val="20"/>
                <w:szCs w:val="20"/>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管理制度健全</w:t>
            </w:r>
          </w:p>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3</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项目实施单位的业务管理制度是否健全，用以反映和考核业务管理制度对项目顺利实施的保障情况。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tcPr>
          <w:p>
            <w:pPr>
              <w:widowControl/>
              <w:spacing w:line="280" w:lineRule="exact"/>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jc w:val="center"/>
              <w:rPr>
                <w:rFonts w:ascii="仿宋_GB2312" w:hAnsi="宋体" w:eastAsia="仿宋_GB2312"/>
                <w:color w:val="000000"/>
                <w:kern w:val="0"/>
                <w:sz w:val="20"/>
                <w:szCs w:val="20"/>
              </w:rPr>
            </w:pPr>
          </w:p>
        </w:tc>
        <w:tc>
          <w:tcPr>
            <w:tcW w:w="710" w:type="dxa"/>
            <w:vMerge w:val="continue"/>
            <w:tcBorders>
              <w:left w:val="single" w:color="auto" w:sz="4" w:space="0"/>
              <w:right w:val="single" w:color="auto" w:sz="4" w:space="0"/>
            </w:tcBorders>
            <w:vAlign w:val="center"/>
          </w:tcPr>
          <w:p>
            <w:pPr>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①是否已制定或具有相应的业务管理制度；</w:t>
            </w:r>
          </w:p>
        </w:tc>
        <w:tc>
          <w:tcPr>
            <w:tcW w:w="385" w:type="dxa"/>
            <w:tcBorders>
              <w:top w:val="nil"/>
              <w:left w:val="nil"/>
              <w:bottom w:val="nil"/>
              <w:right w:val="single" w:color="auto" w:sz="4" w:space="0"/>
            </w:tcBorders>
          </w:tcPr>
          <w:p>
            <w:pPr>
              <w:widowControl/>
              <w:spacing w:line="280" w:lineRule="exact"/>
              <w:rPr>
                <w:rFonts w:ascii="宋体"/>
                <w:color w:val="000000"/>
                <w:kern w:val="0"/>
                <w:sz w:val="24"/>
              </w:rPr>
            </w:pPr>
            <w:r>
              <w:rPr>
                <w:rFonts w:hint="eastAsia" w:ascii="宋体"/>
                <w:color w:val="000000"/>
                <w:kern w:val="0"/>
                <w:sz w:val="24"/>
              </w:rPr>
              <w:t>3</w:t>
            </w:r>
          </w:p>
        </w:tc>
      </w:tr>
      <w:tr>
        <w:tblPrEx>
          <w:tblLayout w:type="fixed"/>
          <w:tblCellMar>
            <w:top w:w="0" w:type="dxa"/>
            <w:left w:w="108" w:type="dxa"/>
            <w:bottom w:w="0" w:type="dxa"/>
            <w:right w:w="108" w:type="dxa"/>
          </w:tblCellMar>
        </w:tblPrEx>
        <w:trPr>
          <w:trHeight w:val="633" w:hRule="atLeast"/>
          <w:jc w:val="center"/>
        </w:trPr>
        <w:tc>
          <w:tcPr>
            <w:tcW w:w="656" w:type="dxa"/>
            <w:vMerge w:val="continue"/>
            <w:tcBorders>
              <w:left w:val="single" w:color="auto" w:sz="4" w:space="0"/>
              <w:right w:val="single" w:color="auto" w:sz="4" w:space="0"/>
            </w:tcBorders>
            <w:vAlign w:val="center"/>
          </w:tcPr>
          <w:p>
            <w:pPr>
              <w:jc w:val="center"/>
              <w:rPr>
                <w:rFonts w:ascii="仿宋_GB2312" w:hAnsi="宋体" w:eastAsia="仿宋_GB2312"/>
                <w:color w:val="000000"/>
                <w:kern w:val="0"/>
                <w:sz w:val="20"/>
                <w:szCs w:val="20"/>
              </w:rPr>
            </w:pPr>
          </w:p>
        </w:tc>
        <w:tc>
          <w:tcPr>
            <w:tcW w:w="710" w:type="dxa"/>
            <w:vMerge w:val="continue"/>
            <w:tcBorders>
              <w:left w:val="single" w:color="auto" w:sz="4" w:space="0"/>
              <w:right w:val="single" w:color="auto" w:sz="4" w:space="0"/>
            </w:tcBorders>
            <w:vAlign w:val="center"/>
          </w:tcPr>
          <w:p>
            <w:pPr>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②业务管理制度是否合法、合规、完整。</w:t>
            </w:r>
          </w:p>
          <w:p>
            <w:pPr>
              <w:widowControl/>
              <w:spacing w:line="280" w:lineRule="exact"/>
              <w:rPr>
                <w:rFonts w:ascii="仿宋_GB2312" w:hAnsi="宋体" w:eastAsia="仿宋_GB2312"/>
                <w:color w:val="000000"/>
                <w:kern w:val="0"/>
                <w:sz w:val="20"/>
                <w:szCs w:val="20"/>
              </w:rPr>
            </w:pPr>
          </w:p>
          <w:p>
            <w:pPr>
              <w:widowControl/>
              <w:spacing w:line="280" w:lineRule="exact"/>
              <w:rPr>
                <w:rFonts w:ascii="仿宋_GB2312" w:hAnsi="宋体" w:eastAsia="仿宋_GB2312"/>
                <w:color w:val="000000"/>
                <w:kern w:val="0"/>
                <w:sz w:val="20"/>
                <w:szCs w:val="20"/>
              </w:rPr>
            </w:pPr>
          </w:p>
        </w:tc>
        <w:tc>
          <w:tcPr>
            <w:tcW w:w="385" w:type="dxa"/>
            <w:tcBorders>
              <w:top w:val="nil"/>
              <w:left w:val="nil"/>
              <w:bottom w:val="single" w:color="auto" w:sz="4" w:space="0"/>
              <w:right w:val="single" w:color="auto" w:sz="4" w:space="0"/>
            </w:tcBorders>
          </w:tcPr>
          <w:p>
            <w:pPr>
              <w:widowControl/>
              <w:spacing w:line="280" w:lineRule="exact"/>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jc w:val="center"/>
              <w:rPr>
                <w:rFonts w:ascii="仿宋_GB2312" w:hAnsi="宋体" w:eastAsia="仿宋_GB2312"/>
                <w:color w:val="000000"/>
                <w:kern w:val="0"/>
                <w:sz w:val="20"/>
                <w:szCs w:val="20"/>
              </w:rPr>
            </w:pPr>
          </w:p>
        </w:tc>
        <w:tc>
          <w:tcPr>
            <w:tcW w:w="710" w:type="dxa"/>
            <w:vMerge w:val="continue"/>
            <w:tcBorders>
              <w:left w:val="single" w:color="auto" w:sz="4" w:space="0"/>
              <w:right w:val="single" w:color="auto" w:sz="4" w:space="0"/>
            </w:tcBorders>
            <w:vAlign w:val="center"/>
          </w:tcPr>
          <w:p>
            <w:pPr>
              <w:jc w:val="left"/>
              <w:rPr>
                <w:rFonts w:ascii="仿宋_GB2312" w:hAnsi="宋体" w:eastAsia="仿宋_GB2312"/>
                <w:color w:val="000000"/>
                <w:kern w:val="0"/>
                <w:sz w:val="20"/>
                <w:szCs w:val="20"/>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制度执行有效性</w:t>
            </w:r>
          </w:p>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3</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项目实施是否符合相关业务管理规定，用以反映和考核业务管理制度的有效执行情况。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tcPr>
          <w:p>
            <w:pPr>
              <w:widowControl/>
              <w:spacing w:line="280" w:lineRule="exact"/>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jc w:val="center"/>
              <w:rPr>
                <w:rFonts w:ascii="宋体"/>
                <w:color w:val="000000"/>
                <w:kern w:val="0"/>
                <w:sz w:val="24"/>
              </w:rPr>
            </w:pPr>
          </w:p>
        </w:tc>
        <w:tc>
          <w:tcPr>
            <w:tcW w:w="710" w:type="dxa"/>
            <w:vMerge w:val="continue"/>
            <w:tcBorders>
              <w:left w:val="single" w:color="auto" w:sz="4" w:space="0"/>
              <w:right w:val="single" w:color="auto" w:sz="4" w:space="0"/>
            </w:tcBorders>
            <w:vAlign w:val="center"/>
          </w:tcPr>
          <w:p>
            <w:pPr>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①是否遵守相关法律法规和业务管理规定；</w:t>
            </w:r>
          </w:p>
        </w:tc>
        <w:tc>
          <w:tcPr>
            <w:tcW w:w="385" w:type="dxa"/>
            <w:tcBorders>
              <w:top w:val="nil"/>
              <w:left w:val="nil"/>
              <w:bottom w:val="nil"/>
              <w:right w:val="single" w:color="auto" w:sz="4" w:space="0"/>
            </w:tcBorders>
          </w:tcPr>
          <w:p>
            <w:pPr>
              <w:widowControl/>
              <w:spacing w:line="280" w:lineRule="exact"/>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jc w:val="center"/>
              <w:rPr>
                <w:rFonts w:ascii="宋体"/>
                <w:color w:val="000000"/>
                <w:kern w:val="0"/>
                <w:sz w:val="24"/>
              </w:rPr>
            </w:pPr>
          </w:p>
        </w:tc>
        <w:tc>
          <w:tcPr>
            <w:tcW w:w="710" w:type="dxa"/>
            <w:vMerge w:val="continue"/>
            <w:tcBorders>
              <w:left w:val="single" w:color="auto" w:sz="4" w:space="0"/>
              <w:right w:val="single" w:color="auto" w:sz="4" w:space="0"/>
            </w:tcBorders>
            <w:vAlign w:val="center"/>
          </w:tcPr>
          <w:p>
            <w:pPr>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②项目调整及支出调整手续是否完备；</w:t>
            </w:r>
          </w:p>
        </w:tc>
        <w:tc>
          <w:tcPr>
            <w:tcW w:w="385" w:type="dxa"/>
            <w:tcBorders>
              <w:top w:val="nil"/>
              <w:left w:val="nil"/>
              <w:bottom w:val="nil"/>
              <w:right w:val="single" w:color="auto" w:sz="4" w:space="0"/>
            </w:tcBorders>
          </w:tcPr>
          <w:p>
            <w:pPr>
              <w:widowControl/>
              <w:spacing w:line="280" w:lineRule="exact"/>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jc w:val="center"/>
              <w:rPr>
                <w:rFonts w:ascii="宋体"/>
                <w:color w:val="000000"/>
                <w:kern w:val="0"/>
                <w:sz w:val="24"/>
              </w:rPr>
            </w:pPr>
          </w:p>
        </w:tc>
        <w:tc>
          <w:tcPr>
            <w:tcW w:w="710" w:type="dxa"/>
            <w:vMerge w:val="continue"/>
            <w:tcBorders>
              <w:left w:val="single" w:color="auto" w:sz="4" w:space="0"/>
              <w:right w:val="single" w:color="auto" w:sz="4" w:space="0"/>
            </w:tcBorders>
            <w:vAlign w:val="center"/>
          </w:tcPr>
          <w:p>
            <w:pPr>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③项目合同书、验收报告、技术审定等资料是否齐全并及时归档</w:t>
            </w:r>
            <w:r>
              <w:rPr>
                <w:rFonts w:ascii="仿宋_GB2312" w:hAnsi="宋体" w:eastAsia="仿宋_GB2312"/>
                <w:color w:val="000000"/>
                <w:kern w:val="0"/>
                <w:sz w:val="20"/>
                <w:szCs w:val="20"/>
              </w:rPr>
              <w:t>;</w:t>
            </w:r>
          </w:p>
        </w:tc>
        <w:tc>
          <w:tcPr>
            <w:tcW w:w="385" w:type="dxa"/>
            <w:tcBorders>
              <w:top w:val="nil"/>
              <w:left w:val="nil"/>
              <w:bottom w:val="nil"/>
              <w:right w:val="single" w:color="auto" w:sz="4" w:space="0"/>
            </w:tcBorders>
          </w:tcPr>
          <w:p>
            <w:pPr>
              <w:widowControl/>
              <w:spacing w:line="280" w:lineRule="exact"/>
              <w:rPr>
                <w:rFonts w:ascii="宋体"/>
                <w:color w:val="000000"/>
                <w:kern w:val="0"/>
                <w:sz w:val="24"/>
              </w:rPr>
            </w:pPr>
            <w:r>
              <w:rPr>
                <w:rFonts w:hint="eastAsia" w:ascii="宋体"/>
                <w:color w:val="000000"/>
                <w:kern w:val="0"/>
                <w:sz w:val="24"/>
              </w:rPr>
              <w:t>3</w:t>
            </w:r>
          </w:p>
        </w:tc>
      </w:tr>
      <w:tr>
        <w:tblPrEx>
          <w:tblLayout w:type="fixed"/>
          <w:tblCellMar>
            <w:top w:w="0" w:type="dxa"/>
            <w:left w:w="108" w:type="dxa"/>
            <w:bottom w:w="0" w:type="dxa"/>
            <w:right w:w="108" w:type="dxa"/>
          </w:tblCellMar>
        </w:tblPrEx>
        <w:trPr>
          <w:trHeight w:val="504" w:hRule="atLeast"/>
          <w:jc w:val="center"/>
        </w:trPr>
        <w:tc>
          <w:tcPr>
            <w:tcW w:w="656" w:type="dxa"/>
            <w:vMerge w:val="continue"/>
            <w:tcBorders>
              <w:left w:val="single" w:color="auto" w:sz="4" w:space="0"/>
              <w:right w:val="single" w:color="auto" w:sz="4" w:space="0"/>
            </w:tcBorders>
            <w:vAlign w:val="center"/>
          </w:tcPr>
          <w:p>
            <w:pPr>
              <w:jc w:val="center"/>
              <w:rPr>
                <w:rFonts w:ascii="宋体"/>
                <w:color w:val="000000"/>
                <w:kern w:val="0"/>
                <w:sz w:val="24"/>
              </w:rPr>
            </w:pPr>
          </w:p>
        </w:tc>
        <w:tc>
          <w:tcPr>
            <w:tcW w:w="710" w:type="dxa"/>
            <w:vMerge w:val="continue"/>
            <w:tcBorders>
              <w:left w:val="single" w:color="auto" w:sz="4" w:space="0"/>
              <w:right w:val="single" w:color="auto" w:sz="4" w:space="0"/>
            </w:tcBorders>
            <w:vAlign w:val="center"/>
          </w:tcPr>
          <w:p>
            <w:pPr>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④项目实施的人员条件、场地设备，信息支撑等是否落实到位。</w:t>
            </w:r>
          </w:p>
        </w:tc>
        <w:tc>
          <w:tcPr>
            <w:tcW w:w="385" w:type="dxa"/>
            <w:tcBorders>
              <w:top w:val="nil"/>
              <w:left w:val="nil"/>
              <w:bottom w:val="single" w:color="auto" w:sz="4" w:space="0"/>
              <w:right w:val="single" w:color="auto" w:sz="4" w:space="0"/>
            </w:tcBorders>
          </w:tcPr>
          <w:p>
            <w:pPr>
              <w:widowControl/>
              <w:spacing w:line="280" w:lineRule="exact"/>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jc w:val="center"/>
              <w:rPr>
                <w:rFonts w:ascii="宋体"/>
                <w:color w:val="000000"/>
                <w:kern w:val="0"/>
                <w:sz w:val="24"/>
              </w:rPr>
            </w:pPr>
          </w:p>
        </w:tc>
        <w:tc>
          <w:tcPr>
            <w:tcW w:w="710" w:type="dxa"/>
            <w:vMerge w:val="continue"/>
            <w:tcBorders>
              <w:left w:val="single" w:color="auto" w:sz="4" w:space="0"/>
              <w:right w:val="single" w:color="auto" w:sz="4" w:space="0"/>
            </w:tcBorders>
            <w:vAlign w:val="center"/>
          </w:tcPr>
          <w:p>
            <w:pPr>
              <w:jc w:val="left"/>
              <w:rPr>
                <w:rFonts w:ascii="仿宋_GB2312" w:hAnsi="宋体" w:eastAsia="仿宋_GB2312"/>
                <w:color w:val="000000"/>
                <w:kern w:val="0"/>
                <w:sz w:val="20"/>
                <w:szCs w:val="20"/>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项目质量可控性</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4</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项目实施单位是否为达到项目质量要求而采取了必需的措施，用以反映和考核项目实施单位对项目质量的控制情况。</w:t>
            </w:r>
          </w:p>
        </w:tc>
        <w:tc>
          <w:tcPr>
            <w:tcW w:w="4502" w:type="dxa"/>
            <w:tcBorders>
              <w:top w:val="nil"/>
              <w:left w:val="nil"/>
              <w:bottom w:val="nil"/>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tcPr>
          <w:p>
            <w:pPr>
              <w:widowControl/>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left w:val="single" w:color="auto"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①是否已制定或其有相应的项目质量要求或标准；</w:t>
            </w:r>
          </w:p>
        </w:tc>
        <w:tc>
          <w:tcPr>
            <w:tcW w:w="385" w:type="dxa"/>
            <w:tcBorders>
              <w:top w:val="nil"/>
              <w:left w:val="nil"/>
              <w:bottom w:val="nil"/>
              <w:right w:val="single" w:color="auto" w:sz="4" w:space="0"/>
            </w:tcBorders>
          </w:tcPr>
          <w:p>
            <w:pPr>
              <w:widowControl/>
              <w:rPr>
                <w:rFonts w:ascii="宋体"/>
                <w:color w:val="000000"/>
                <w:kern w:val="0"/>
                <w:sz w:val="24"/>
              </w:rPr>
            </w:pPr>
          </w:p>
        </w:tc>
      </w:tr>
      <w:tr>
        <w:tblPrEx>
          <w:tblLayout w:type="fixed"/>
          <w:tblCellMar>
            <w:top w:w="0" w:type="dxa"/>
            <w:left w:w="108" w:type="dxa"/>
            <w:bottom w:w="0" w:type="dxa"/>
            <w:right w:w="108" w:type="dxa"/>
          </w:tblCellMar>
        </w:tblPrEx>
        <w:trPr>
          <w:trHeight w:val="695" w:hRule="atLeast"/>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②是否采取了相应的项目质量检查、验收等必需的控制措施或手段。</w:t>
            </w:r>
          </w:p>
        </w:tc>
        <w:tc>
          <w:tcPr>
            <w:tcW w:w="385" w:type="dxa"/>
            <w:tcBorders>
              <w:top w:val="nil"/>
              <w:left w:val="nil"/>
              <w:bottom w:val="single" w:color="auto" w:sz="4" w:space="0"/>
              <w:right w:val="single" w:color="auto" w:sz="4" w:space="0"/>
            </w:tcBorders>
          </w:tcPr>
          <w:p>
            <w:pPr>
              <w:widowControl/>
              <w:rPr>
                <w:rFonts w:ascii="宋体"/>
                <w:color w:val="000000"/>
                <w:kern w:val="0"/>
                <w:sz w:val="24"/>
              </w:rPr>
            </w:pPr>
            <w:r>
              <w:rPr>
                <w:rFonts w:hint="eastAsia" w:ascii="宋体"/>
                <w:color w:val="000000"/>
                <w:kern w:val="0"/>
                <w:sz w:val="24"/>
              </w:rPr>
              <w:t>4</w:t>
            </w:r>
          </w:p>
        </w:tc>
      </w:tr>
      <w:tr>
        <w:tblPrEx>
          <w:tblLayout w:type="fixed"/>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财务管理</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20</w:t>
            </w:r>
            <w:r>
              <w:rPr>
                <w:rFonts w:hint="eastAsia" w:ascii="仿宋_GB2312" w:hAnsi="宋体" w:eastAsia="仿宋_GB2312"/>
                <w:color w:val="000000"/>
                <w:kern w:val="0"/>
                <w:sz w:val="20"/>
                <w:szCs w:val="20"/>
              </w:rPr>
              <w:t>分）</w:t>
            </w:r>
          </w:p>
        </w:tc>
        <w:tc>
          <w:tcPr>
            <w:tcW w:w="12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管理制度健全性</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5</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项目实施单位的财务制度是否健全，用以反映和考核财务管理制度对资金规范安全运行的保障情况。</w:t>
            </w: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tcPr>
          <w:p>
            <w:pPr>
              <w:widowControl/>
              <w:jc w:val="left"/>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①是否已制定或具有相应的项目资金管理办法；</w:t>
            </w:r>
          </w:p>
        </w:tc>
        <w:tc>
          <w:tcPr>
            <w:tcW w:w="385" w:type="dxa"/>
            <w:tcBorders>
              <w:top w:val="nil"/>
              <w:left w:val="nil"/>
              <w:bottom w:val="nil"/>
              <w:right w:val="single" w:color="auto" w:sz="4" w:space="0"/>
            </w:tcBorders>
          </w:tcPr>
          <w:p>
            <w:pPr>
              <w:widowControl/>
              <w:jc w:val="left"/>
              <w:rPr>
                <w:rFonts w:ascii="宋体"/>
                <w:color w:val="000000"/>
                <w:kern w:val="0"/>
                <w:sz w:val="24"/>
              </w:rPr>
            </w:pPr>
          </w:p>
        </w:tc>
      </w:tr>
      <w:tr>
        <w:tblPrEx>
          <w:tblLayout w:type="fixed"/>
          <w:tblCellMar>
            <w:top w:w="0" w:type="dxa"/>
            <w:left w:w="108" w:type="dxa"/>
            <w:bottom w:w="0" w:type="dxa"/>
            <w:right w:w="108" w:type="dxa"/>
          </w:tblCellMar>
        </w:tblPrEx>
        <w:trPr>
          <w:trHeight w:val="945" w:hRule="atLeast"/>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②项目资金管理办法是否符合相关财务会计制度的规定。</w:t>
            </w:r>
          </w:p>
        </w:tc>
        <w:tc>
          <w:tcPr>
            <w:tcW w:w="385" w:type="dxa"/>
            <w:tcBorders>
              <w:top w:val="nil"/>
              <w:left w:val="nil"/>
              <w:bottom w:val="single" w:color="auto" w:sz="4" w:space="0"/>
              <w:right w:val="single" w:color="auto" w:sz="4" w:space="0"/>
            </w:tcBorders>
          </w:tcPr>
          <w:p>
            <w:pPr>
              <w:widowControl/>
              <w:rPr>
                <w:rFonts w:ascii="宋体"/>
                <w:color w:val="000000"/>
                <w:kern w:val="0"/>
                <w:sz w:val="24"/>
              </w:rPr>
            </w:pPr>
            <w:r>
              <w:rPr>
                <w:rFonts w:hint="eastAsia" w:ascii="宋体"/>
                <w:color w:val="000000"/>
                <w:kern w:val="0"/>
                <w:sz w:val="24"/>
              </w:rPr>
              <w:t>5</w:t>
            </w:r>
          </w:p>
        </w:tc>
      </w:tr>
      <w:tr>
        <w:tblPrEx>
          <w:tblLayout w:type="fixed"/>
          <w:tblCellMar>
            <w:top w:w="0" w:type="dxa"/>
            <w:left w:w="108" w:type="dxa"/>
            <w:bottom w:w="0" w:type="dxa"/>
            <w:right w:w="108" w:type="dxa"/>
          </w:tblCellMar>
        </w:tblPrEx>
        <w:trPr>
          <w:trHeight w:val="510" w:hRule="atLeast"/>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资金使用合规性</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7</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项目资金使用是否符合相关的财务管理制度规定，用以反映和考核项目资金的规范运行情况。</w:t>
            </w:r>
          </w:p>
        </w:tc>
        <w:tc>
          <w:tcPr>
            <w:tcW w:w="4502" w:type="dxa"/>
            <w:tcBorders>
              <w:top w:val="nil"/>
              <w:left w:val="nil"/>
              <w:bottom w:val="nil"/>
              <w:right w:val="single" w:color="auto" w:sz="4" w:space="0"/>
            </w:tcBorders>
            <w:vAlign w:val="center"/>
          </w:tcPr>
          <w:p>
            <w:pPr>
              <w:widowControl/>
              <w:spacing w:line="240" w:lineRule="atLeas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tcPr>
          <w:p>
            <w:pPr>
              <w:widowControl/>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40" w:lineRule="atLeas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①是否符合国家财经法规和财务管理以及有关专项资金管理办法的规定；</w:t>
            </w:r>
          </w:p>
        </w:tc>
        <w:tc>
          <w:tcPr>
            <w:tcW w:w="385" w:type="dxa"/>
            <w:tcBorders>
              <w:top w:val="nil"/>
              <w:left w:val="nil"/>
              <w:bottom w:val="nil"/>
              <w:right w:val="single" w:color="auto" w:sz="4" w:space="0"/>
            </w:tcBorders>
          </w:tcPr>
          <w:p>
            <w:pPr>
              <w:widowControl/>
              <w:rPr>
                <w:rFonts w:ascii="宋体"/>
                <w:color w:val="000000"/>
                <w:kern w:val="0"/>
                <w:sz w:val="24"/>
              </w:rPr>
            </w:pPr>
          </w:p>
        </w:tc>
      </w:tr>
      <w:tr>
        <w:tblPrEx>
          <w:tblLayout w:type="fixed"/>
          <w:tblCellMar>
            <w:top w:w="0" w:type="dxa"/>
            <w:left w:w="108" w:type="dxa"/>
            <w:bottom w:w="0" w:type="dxa"/>
            <w:right w:w="108" w:type="dxa"/>
          </w:tblCellMar>
        </w:tblPrEx>
        <w:trPr>
          <w:trHeight w:val="552" w:hRule="atLeast"/>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40" w:lineRule="atLeas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②资金的拨付是否有完整的审批程序和手续；</w:t>
            </w:r>
          </w:p>
        </w:tc>
        <w:tc>
          <w:tcPr>
            <w:tcW w:w="385" w:type="dxa"/>
            <w:tcBorders>
              <w:top w:val="nil"/>
              <w:left w:val="nil"/>
              <w:bottom w:val="nil"/>
              <w:right w:val="single" w:color="auto" w:sz="4" w:space="0"/>
            </w:tcBorders>
          </w:tcPr>
          <w:p>
            <w:pPr>
              <w:widowControl/>
              <w:rPr>
                <w:rFonts w:ascii="宋体"/>
                <w:color w:val="000000"/>
                <w:kern w:val="0"/>
                <w:sz w:val="24"/>
              </w:rPr>
            </w:pPr>
          </w:p>
        </w:tc>
      </w:tr>
      <w:tr>
        <w:tblPrEx>
          <w:tblLayout w:type="fixed"/>
          <w:tblCellMar>
            <w:top w:w="0" w:type="dxa"/>
            <w:left w:w="108" w:type="dxa"/>
            <w:bottom w:w="0" w:type="dxa"/>
            <w:right w:w="108" w:type="dxa"/>
          </w:tblCellMar>
        </w:tblPrEx>
        <w:trPr>
          <w:trHeight w:val="476" w:hRule="atLeast"/>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40" w:lineRule="atLeas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③项目的重大开支是否经过评估认证；</w:t>
            </w:r>
          </w:p>
        </w:tc>
        <w:tc>
          <w:tcPr>
            <w:tcW w:w="385" w:type="dxa"/>
            <w:tcBorders>
              <w:top w:val="nil"/>
              <w:left w:val="nil"/>
              <w:bottom w:val="nil"/>
              <w:right w:val="single" w:color="auto" w:sz="4" w:space="0"/>
            </w:tcBorders>
          </w:tcPr>
          <w:p>
            <w:pPr>
              <w:widowControl/>
              <w:rPr>
                <w:rFonts w:ascii="宋体"/>
                <w:color w:val="000000"/>
                <w:kern w:val="0"/>
                <w:sz w:val="24"/>
              </w:rPr>
            </w:pPr>
            <w:r>
              <w:rPr>
                <w:rFonts w:hint="eastAsia" w:ascii="宋体"/>
                <w:color w:val="000000"/>
                <w:kern w:val="0"/>
                <w:sz w:val="24"/>
              </w:rPr>
              <w:t>7</w:t>
            </w:r>
          </w:p>
        </w:tc>
      </w:tr>
      <w:tr>
        <w:tblPrEx>
          <w:tblLayout w:type="fixed"/>
          <w:tblCellMar>
            <w:top w:w="0" w:type="dxa"/>
            <w:left w:w="108" w:type="dxa"/>
            <w:bottom w:w="0" w:type="dxa"/>
            <w:right w:w="108" w:type="dxa"/>
          </w:tblCellMar>
        </w:tblPrEx>
        <w:trPr>
          <w:trHeight w:val="534" w:hRule="atLeast"/>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40" w:lineRule="atLeas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④是否符合项目预算批复或合同规定的用途；</w:t>
            </w:r>
          </w:p>
        </w:tc>
        <w:tc>
          <w:tcPr>
            <w:tcW w:w="385" w:type="dxa"/>
            <w:tcBorders>
              <w:top w:val="nil"/>
              <w:left w:val="nil"/>
              <w:bottom w:val="nil"/>
              <w:right w:val="single" w:color="auto" w:sz="4" w:space="0"/>
            </w:tcBorders>
          </w:tcPr>
          <w:p>
            <w:pPr>
              <w:widowControl/>
              <w:rPr>
                <w:rFonts w:ascii="宋体"/>
                <w:color w:val="000000"/>
                <w:kern w:val="0"/>
                <w:sz w:val="24"/>
              </w:rPr>
            </w:pPr>
          </w:p>
        </w:tc>
      </w:tr>
      <w:tr>
        <w:tblPrEx>
          <w:tblLayout w:type="fixed"/>
          <w:tblCellMar>
            <w:top w:w="0" w:type="dxa"/>
            <w:left w:w="108" w:type="dxa"/>
            <w:bottom w:w="0" w:type="dxa"/>
            <w:right w:w="108" w:type="dxa"/>
          </w:tblCellMar>
        </w:tblPrEx>
        <w:trPr>
          <w:trHeight w:val="458" w:hRule="atLeast"/>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40" w:lineRule="atLeas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⑤是否存在截留、挤占、挪用、虚列支出等情况。</w:t>
            </w:r>
          </w:p>
        </w:tc>
        <w:tc>
          <w:tcPr>
            <w:tcW w:w="385" w:type="dxa"/>
            <w:tcBorders>
              <w:top w:val="nil"/>
              <w:left w:val="nil"/>
              <w:bottom w:val="single" w:color="auto" w:sz="4" w:space="0"/>
              <w:right w:val="single" w:color="auto" w:sz="4" w:space="0"/>
            </w:tcBorders>
          </w:tcPr>
          <w:p>
            <w:pPr>
              <w:widowControl/>
              <w:rPr>
                <w:rFonts w:ascii="宋体"/>
                <w:color w:val="000000"/>
                <w:kern w:val="0"/>
                <w:sz w:val="24"/>
              </w:rPr>
            </w:pPr>
          </w:p>
        </w:tc>
      </w:tr>
      <w:tr>
        <w:tblPrEx>
          <w:tblLayout w:type="fixed"/>
          <w:tblCellMar>
            <w:top w:w="0" w:type="dxa"/>
            <w:left w:w="108" w:type="dxa"/>
            <w:bottom w:w="0" w:type="dxa"/>
            <w:right w:w="108" w:type="dxa"/>
          </w:tblCellMar>
        </w:tblPrEx>
        <w:trPr>
          <w:trHeight w:val="377" w:hRule="atLeast"/>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财务监控有效性</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8</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项目实施单位是否为保障资金的安全、规范运行而采取了必要的监控措施，用以反映和考核项目实施单位对资金运行的控制情况。</w:t>
            </w: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tcPr>
          <w:p>
            <w:pPr>
              <w:widowControl/>
              <w:jc w:val="left"/>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①是否已制定或具有相应的监控机制；</w:t>
            </w:r>
          </w:p>
        </w:tc>
        <w:tc>
          <w:tcPr>
            <w:tcW w:w="385" w:type="dxa"/>
            <w:tcBorders>
              <w:top w:val="nil"/>
              <w:left w:val="nil"/>
              <w:bottom w:val="nil"/>
              <w:right w:val="single" w:color="auto" w:sz="4" w:space="0"/>
            </w:tcBorders>
          </w:tcPr>
          <w:p>
            <w:pPr>
              <w:widowControl/>
              <w:jc w:val="left"/>
              <w:rPr>
                <w:rFonts w:ascii="宋体"/>
                <w:color w:val="000000"/>
                <w:kern w:val="0"/>
                <w:sz w:val="24"/>
              </w:rPr>
            </w:pPr>
          </w:p>
        </w:tc>
      </w:tr>
      <w:tr>
        <w:tblPrEx>
          <w:tblLayout w:type="fixed"/>
          <w:tblCellMar>
            <w:top w:w="0" w:type="dxa"/>
            <w:left w:w="108" w:type="dxa"/>
            <w:bottom w:w="0" w:type="dxa"/>
            <w:right w:w="108" w:type="dxa"/>
          </w:tblCellMar>
        </w:tblPrEx>
        <w:trPr>
          <w:trHeight w:val="1519" w:hRule="atLeast"/>
          <w:jc w:val="center"/>
        </w:trPr>
        <w:tc>
          <w:tcPr>
            <w:tcW w:w="656" w:type="dxa"/>
            <w:vMerge w:val="continue"/>
            <w:tcBorders>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②是否采取了相应的财务检查等必要的监控措施或手段。</w:t>
            </w:r>
          </w:p>
        </w:tc>
        <w:tc>
          <w:tcPr>
            <w:tcW w:w="385" w:type="dxa"/>
            <w:tcBorders>
              <w:top w:val="nil"/>
              <w:left w:val="nil"/>
              <w:bottom w:val="single" w:color="auto" w:sz="4" w:space="0"/>
              <w:right w:val="single" w:color="auto" w:sz="4" w:space="0"/>
            </w:tcBorders>
          </w:tcPr>
          <w:p>
            <w:pPr>
              <w:widowControl/>
              <w:rPr>
                <w:rFonts w:ascii="宋体"/>
                <w:color w:val="000000"/>
                <w:kern w:val="0"/>
                <w:sz w:val="24"/>
              </w:rPr>
            </w:pPr>
            <w:r>
              <w:rPr>
                <w:rFonts w:hint="eastAsia" w:ascii="宋体"/>
                <w:color w:val="000000"/>
                <w:kern w:val="0"/>
                <w:sz w:val="24"/>
              </w:rPr>
              <w:t>8</w:t>
            </w:r>
          </w:p>
        </w:tc>
      </w:tr>
      <w:tr>
        <w:tblPrEx>
          <w:tblLayout w:type="fixed"/>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产出</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30</w:t>
            </w:r>
            <w:r>
              <w:rPr>
                <w:rFonts w:hint="eastAsia" w:ascii="仿宋_GB2312" w:hAnsi="宋体" w:eastAsia="仿宋_GB2312"/>
                <w:color w:val="000000"/>
                <w:kern w:val="0"/>
                <w:sz w:val="20"/>
                <w:szCs w:val="20"/>
              </w:rPr>
              <w:t>分）</w:t>
            </w:r>
          </w:p>
        </w:tc>
        <w:tc>
          <w:tcPr>
            <w:tcW w:w="71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项目产出</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30</w:t>
            </w:r>
            <w:r>
              <w:rPr>
                <w:rFonts w:hint="eastAsia" w:ascii="仿宋_GB2312" w:hAnsi="宋体" w:eastAsia="仿宋_GB2312"/>
                <w:color w:val="000000"/>
                <w:kern w:val="0"/>
                <w:sz w:val="20"/>
                <w:szCs w:val="20"/>
              </w:rPr>
              <w:t>分）</w:t>
            </w:r>
          </w:p>
        </w:tc>
        <w:tc>
          <w:tcPr>
            <w:tcW w:w="12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实际完成率（</w:t>
            </w:r>
            <w:r>
              <w:rPr>
                <w:rFonts w:ascii="仿宋_GB2312" w:hAnsi="宋体" w:eastAsia="仿宋_GB2312"/>
                <w:color w:val="000000"/>
                <w:kern w:val="0"/>
                <w:sz w:val="20"/>
                <w:szCs w:val="20"/>
              </w:rPr>
              <w:t>7</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项目实施的实际产出数与计划产出数的比率，用以反映和考核项目产出数量目标的实现程度。</w:t>
            </w: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实际完成率＝（实际产出数</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计划产出数）×</w:t>
            </w:r>
            <w:r>
              <w:rPr>
                <w:rFonts w:ascii="仿宋_GB2312" w:hAnsi="宋体" w:eastAsia="仿宋_GB2312"/>
                <w:color w:val="000000"/>
                <w:kern w:val="0"/>
                <w:sz w:val="20"/>
                <w:szCs w:val="20"/>
              </w:rPr>
              <w:t>100%</w:t>
            </w:r>
            <w:r>
              <w:rPr>
                <w:rFonts w:hint="eastAsia" w:ascii="仿宋_GB2312" w:hAnsi="宋体" w:eastAsia="仿宋_GB2312"/>
                <w:color w:val="000000"/>
                <w:kern w:val="0"/>
                <w:sz w:val="20"/>
                <w:szCs w:val="20"/>
              </w:rPr>
              <w:t>。</w:t>
            </w:r>
          </w:p>
        </w:tc>
        <w:tc>
          <w:tcPr>
            <w:tcW w:w="385" w:type="dxa"/>
            <w:tcBorders>
              <w:top w:val="nil"/>
              <w:left w:val="nil"/>
              <w:bottom w:val="nil"/>
              <w:right w:val="single" w:color="auto" w:sz="4" w:space="0"/>
            </w:tcBorders>
          </w:tcPr>
          <w:p>
            <w:pPr>
              <w:widowControl/>
              <w:jc w:val="left"/>
              <w:rPr>
                <w:rFonts w:ascii="宋体"/>
                <w:color w:val="000000"/>
                <w:kern w:val="0"/>
                <w:sz w:val="24"/>
              </w:rPr>
            </w:pPr>
          </w:p>
        </w:tc>
      </w:tr>
      <w:tr>
        <w:tblPrEx>
          <w:tblLayout w:type="fixed"/>
          <w:tblCellMar>
            <w:top w:w="0" w:type="dxa"/>
            <w:left w:w="108" w:type="dxa"/>
            <w:bottom w:w="0" w:type="dxa"/>
            <w:right w:w="108" w:type="dxa"/>
          </w:tblCellMar>
        </w:tblPrEx>
        <w:trPr>
          <w:trHeight w:val="568"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实际产出数：一定时期（本年度或项目期）内项目实际产出的产品或提供的服务数。</w:t>
            </w:r>
          </w:p>
        </w:tc>
        <w:tc>
          <w:tcPr>
            <w:tcW w:w="385" w:type="dxa"/>
            <w:tcBorders>
              <w:top w:val="nil"/>
              <w:left w:val="nil"/>
              <w:bottom w:val="nil"/>
              <w:right w:val="single" w:color="auto" w:sz="4" w:space="0"/>
            </w:tcBorders>
          </w:tcPr>
          <w:p>
            <w:pPr>
              <w:widowControl/>
              <w:jc w:val="left"/>
              <w:rPr>
                <w:rFonts w:ascii="宋体"/>
                <w:color w:val="000000"/>
                <w:kern w:val="0"/>
                <w:sz w:val="24"/>
              </w:rPr>
            </w:pPr>
          </w:p>
        </w:tc>
      </w:tr>
      <w:tr>
        <w:tblPrEx>
          <w:tblLayout w:type="fixed"/>
          <w:tblCellMar>
            <w:top w:w="0" w:type="dxa"/>
            <w:left w:w="108" w:type="dxa"/>
            <w:bottom w:w="0" w:type="dxa"/>
            <w:right w:w="108" w:type="dxa"/>
          </w:tblCellMar>
        </w:tblPrEx>
        <w:trPr>
          <w:trHeight w:val="822"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计划产出数：项目绩效目标确定的在一定时期（本年度或项目期）内计划产出的产品或提供的服务数量。</w:t>
            </w:r>
          </w:p>
          <w:p>
            <w:pPr>
              <w:widowControl/>
              <w:rPr>
                <w:rFonts w:ascii="仿宋_GB2312" w:hAnsi="宋体" w:eastAsia="仿宋_GB2312"/>
                <w:color w:val="000000"/>
                <w:kern w:val="0"/>
                <w:sz w:val="20"/>
                <w:szCs w:val="20"/>
              </w:rPr>
            </w:pPr>
          </w:p>
        </w:tc>
        <w:tc>
          <w:tcPr>
            <w:tcW w:w="385" w:type="dxa"/>
            <w:tcBorders>
              <w:top w:val="nil"/>
              <w:left w:val="nil"/>
              <w:bottom w:val="single" w:color="auto" w:sz="4" w:space="0"/>
              <w:right w:val="single" w:color="auto" w:sz="4" w:space="0"/>
            </w:tcBorders>
          </w:tcPr>
          <w:p>
            <w:pPr>
              <w:widowControl/>
              <w:rPr>
                <w:rFonts w:ascii="宋体"/>
                <w:color w:val="000000"/>
                <w:kern w:val="0"/>
                <w:sz w:val="24"/>
              </w:rPr>
            </w:pPr>
            <w:r>
              <w:rPr>
                <w:rFonts w:hint="eastAsia" w:ascii="宋体"/>
                <w:color w:val="000000"/>
                <w:kern w:val="0"/>
                <w:sz w:val="24"/>
              </w:rPr>
              <w:t>7</w:t>
            </w:r>
          </w:p>
        </w:tc>
      </w:tr>
      <w:tr>
        <w:tblPrEx>
          <w:tblLayout w:type="fixed"/>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完成及时率</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7</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项目实际提前完成时间与计划完成时间的比率，用以反映和考核项目产出时效目标的实现程度</w:t>
            </w: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完成及时率</w:t>
            </w:r>
            <w:r>
              <w:rPr>
                <w:rFonts w:ascii="仿宋_GB2312" w:hAnsi="宋体" w:eastAsia="仿宋_GB2312"/>
                <w:color w:val="000000"/>
                <w:kern w:val="0"/>
                <w:sz w:val="20"/>
                <w:szCs w:val="20"/>
              </w:rPr>
              <w:t>[ (</w:t>
            </w:r>
            <w:r>
              <w:rPr>
                <w:rFonts w:hint="eastAsia" w:ascii="仿宋_GB2312" w:hAnsi="宋体" w:eastAsia="仿宋_GB2312"/>
                <w:color w:val="000000"/>
                <w:kern w:val="0"/>
                <w:sz w:val="20"/>
                <w:szCs w:val="20"/>
              </w:rPr>
              <w:t>计划完成时间</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实际完成时间）</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计划完成时间</w:t>
            </w:r>
            <w:r>
              <w:rPr>
                <w:rFonts w:ascii="仿宋_GB2312" w:hAnsi="宋体" w:eastAsia="仿宋_GB2312"/>
                <w:color w:val="000000"/>
                <w:kern w:val="0"/>
                <w:sz w:val="20"/>
                <w:szCs w:val="20"/>
              </w:rPr>
              <w:t>]</w:t>
            </w:r>
            <w:r>
              <w:rPr>
                <w:rFonts w:ascii="宋体" w:hAnsi="宋体" w:eastAsia="仿宋_GB2312"/>
                <w:color w:val="000000"/>
                <w:kern w:val="0"/>
                <w:sz w:val="20"/>
                <w:szCs w:val="20"/>
              </w:rPr>
              <w:t> </w:t>
            </w: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100%</w:t>
            </w:r>
            <w:r>
              <w:rPr>
                <w:rFonts w:hint="eastAsia" w:ascii="仿宋_GB2312" w:hAnsi="宋体" w:eastAsia="仿宋_GB2312"/>
                <w:color w:val="000000"/>
                <w:kern w:val="0"/>
                <w:sz w:val="20"/>
                <w:szCs w:val="20"/>
              </w:rPr>
              <w:t>。</w:t>
            </w:r>
          </w:p>
        </w:tc>
        <w:tc>
          <w:tcPr>
            <w:tcW w:w="385" w:type="dxa"/>
            <w:tcBorders>
              <w:top w:val="nil"/>
              <w:left w:val="nil"/>
              <w:bottom w:val="nil"/>
              <w:right w:val="single" w:color="auto" w:sz="4" w:space="0"/>
            </w:tcBorders>
          </w:tcPr>
          <w:p>
            <w:pPr>
              <w:widowControl/>
              <w:jc w:val="left"/>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实际完成时间：项目实施单位完成该项目实际所耗用的时间。</w:t>
            </w:r>
          </w:p>
        </w:tc>
        <w:tc>
          <w:tcPr>
            <w:tcW w:w="385" w:type="dxa"/>
            <w:tcBorders>
              <w:top w:val="nil"/>
              <w:left w:val="nil"/>
              <w:bottom w:val="nil"/>
              <w:right w:val="single" w:color="auto" w:sz="4" w:space="0"/>
            </w:tcBorders>
          </w:tcPr>
          <w:p>
            <w:pPr>
              <w:widowControl/>
              <w:jc w:val="left"/>
              <w:rPr>
                <w:rFonts w:ascii="宋体"/>
                <w:color w:val="000000"/>
                <w:kern w:val="0"/>
                <w:sz w:val="24"/>
              </w:rPr>
            </w:pPr>
            <w:r>
              <w:rPr>
                <w:rFonts w:hint="eastAsia" w:ascii="宋体"/>
                <w:color w:val="000000"/>
                <w:kern w:val="0"/>
                <w:sz w:val="24"/>
              </w:rPr>
              <w:t>7</w:t>
            </w:r>
          </w:p>
        </w:tc>
      </w:tr>
      <w:tr>
        <w:tblPrEx>
          <w:tblLayout w:type="fixed"/>
          <w:tblCellMar>
            <w:top w:w="0" w:type="dxa"/>
            <w:left w:w="108" w:type="dxa"/>
            <w:bottom w:w="0" w:type="dxa"/>
            <w:right w:w="108" w:type="dxa"/>
          </w:tblCellMar>
        </w:tblPrEx>
        <w:trPr>
          <w:trHeight w:val="516"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计划完成时间：按照项目实施计划或相关规定完成该项目所需的时间。</w:t>
            </w:r>
          </w:p>
        </w:tc>
        <w:tc>
          <w:tcPr>
            <w:tcW w:w="385" w:type="dxa"/>
            <w:tcBorders>
              <w:top w:val="nil"/>
              <w:left w:val="nil"/>
              <w:bottom w:val="single" w:color="auto" w:sz="4" w:space="0"/>
              <w:right w:val="single" w:color="auto" w:sz="4" w:space="0"/>
            </w:tcBorders>
          </w:tcPr>
          <w:p>
            <w:pPr>
              <w:widowControl/>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质量达标率</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8</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项目完成的质量达标产出数与实际产出数的比率，用以反映和考核项目产出质量目标的实现程度。</w:t>
            </w: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质量达标率＝（质量达标产出数</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实际产出数）</w:t>
            </w:r>
            <w:r>
              <w:rPr>
                <w:rFonts w:ascii="仿宋_GB2312" w:hAnsi="宋体" w:eastAsia="仿宋_GB2312"/>
                <w:color w:val="000000"/>
                <w:kern w:val="0"/>
                <w:sz w:val="20"/>
                <w:szCs w:val="20"/>
              </w:rPr>
              <w:t>/100%</w:t>
            </w:r>
            <w:r>
              <w:rPr>
                <w:rFonts w:hint="eastAsia" w:ascii="仿宋_GB2312" w:hAnsi="宋体" w:eastAsia="仿宋_GB2312"/>
                <w:color w:val="000000"/>
                <w:kern w:val="0"/>
                <w:sz w:val="20"/>
                <w:szCs w:val="20"/>
              </w:rPr>
              <w:t>。</w:t>
            </w:r>
          </w:p>
        </w:tc>
        <w:tc>
          <w:tcPr>
            <w:tcW w:w="385" w:type="dxa"/>
            <w:tcBorders>
              <w:top w:val="nil"/>
              <w:left w:val="nil"/>
              <w:bottom w:val="nil"/>
              <w:right w:val="single" w:color="auto" w:sz="4" w:space="0"/>
            </w:tcBorders>
          </w:tcPr>
          <w:p>
            <w:pPr>
              <w:widowControl/>
              <w:jc w:val="left"/>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质量达标产出数：一定时期（本年度或项目期）内实际达到既定质量标准的产品或服务数量。</w:t>
            </w:r>
          </w:p>
        </w:tc>
        <w:tc>
          <w:tcPr>
            <w:tcW w:w="385" w:type="dxa"/>
            <w:tcBorders>
              <w:top w:val="nil"/>
              <w:left w:val="nil"/>
              <w:bottom w:val="nil"/>
              <w:right w:val="single" w:color="auto" w:sz="4" w:space="0"/>
            </w:tcBorders>
          </w:tcPr>
          <w:p>
            <w:pPr>
              <w:widowControl/>
              <w:jc w:val="left"/>
              <w:rPr>
                <w:rFonts w:ascii="宋体"/>
                <w:color w:val="000000"/>
                <w:kern w:val="0"/>
                <w:sz w:val="24"/>
              </w:rPr>
            </w:pPr>
            <w:r>
              <w:rPr>
                <w:rFonts w:hint="eastAsia" w:ascii="宋体"/>
                <w:color w:val="000000"/>
                <w:kern w:val="0"/>
                <w:sz w:val="24"/>
              </w:rPr>
              <w:t>8</w:t>
            </w:r>
          </w:p>
        </w:tc>
      </w:tr>
      <w:tr>
        <w:tblPrEx>
          <w:tblLayout w:type="fixed"/>
          <w:tblCellMar>
            <w:top w:w="0" w:type="dxa"/>
            <w:left w:w="108" w:type="dxa"/>
            <w:bottom w:w="0" w:type="dxa"/>
            <w:right w:w="108" w:type="dxa"/>
          </w:tblCellMar>
        </w:tblPrEx>
        <w:trPr>
          <w:trHeight w:val="1006" w:hRule="exac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既定质量标准是指项目实施单位设立绩效目标时依据计划标准、行业标准、历史标准或其他标准而设定的绩效指标值。</w:t>
            </w:r>
          </w:p>
        </w:tc>
        <w:tc>
          <w:tcPr>
            <w:tcW w:w="385" w:type="dxa"/>
            <w:tcBorders>
              <w:top w:val="nil"/>
              <w:left w:val="nil"/>
              <w:bottom w:val="single" w:color="auto" w:sz="4" w:space="0"/>
              <w:right w:val="single" w:color="auto" w:sz="4" w:space="0"/>
            </w:tcBorders>
          </w:tcPr>
          <w:p>
            <w:pPr>
              <w:widowControl/>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成本节约率</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8</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完成项目计划工作目标的实际节约成本与计划成本的比率，用以反映和考核项目的成本节约程度。</w:t>
            </w: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成本节约率＝</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计划成本</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实际成本</w:t>
            </w:r>
            <w:r>
              <w:rPr>
                <w:rFonts w:ascii="仿宋_GB2312" w:hAnsi="宋体" w:eastAsia="仿宋_GB2312"/>
                <w:color w:val="000000"/>
                <w:kern w:val="0"/>
                <w:sz w:val="20"/>
                <w:szCs w:val="20"/>
              </w:rPr>
              <w:t>)</w:t>
            </w:r>
            <w:r>
              <w:rPr>
                <w:rFonts w:ascii="宋体" w:hAnsi="宋体" w:eastAsia="仿宋_GB2312"/>
                <w:color w:val="000000"/>
                <w:kern w:val="0"/>
                <w:sz w:val="20"/>
                <w:szCs w:val="20"/>
              </w:rPr>
              <w:t> </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计划成本×</w:t>
            </w:r>
            <w:r>
              <w:rPr>
                <w:rFonts w:ascii="仿宋_GB2312" w:hAnsi="宋体" w:eastAsia="仿宋_GB2312"/>
                <w:color w:val="000000"/>
                <w:kern w:val="0"/>
                <w:sz w:val="20"/>
                <w:szCs w:val="20"/>
              </w:rPr>
              <w:t>100%</w:t>
            </w:r>
            <w:r>
              <w:rPr>
                <w:rFonts w:hint="eastAsia" w:ascii="仿宋_GB2312" w:hAnsi="宋体" w:eastAsia="仿宋_GB2312"/>
                <w:color w:val="000000"/>
                <w:kern w:val="0"/>
                <w:sz w:val="20"/>
                <w:szCs w:val="20"/>
              </w:rPr>
              <w:t>。</w:t>
            </w:r>
          </w:p>
        </w:tc>
        <w:tc>
          <w:tcPr>
            <w:tcW w:w="385" w:type="dxa"/>
            <w:tcBorders>
              <w:top w:val="nil"/>
              <w:left w:val="nil"/>
              <w:bottom w:val="nil"/>
              <w:right w:val="single" w:color="auto" w:sz="4" w:space="0"/>
            </w:tcBorders>
          </w:tcPr>
          <w:p>
            <w:pPr>
              <w:widowControl/>
              <w:jc w:val="left"/>
              <w:rPr>
                <w:rFonts w:ascii="宋体"/>
                <w:color w:val="000000"/>
                <w:kern w:val="0"/>
                <w:sz w:val="24"/>
              </w:rPr>
            </w:pPr>
          </w:p>
        </w:tc>
      </w:tr>
      <w:tr>
        <w:tblPrEx>
          <w:tblLayout w:type="fixed"/>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实际成本：项目实施单位如期、保质、保量完成既定工作目标实际所耗费的支出。</w:t>
            </w:r>
          </w:p>
        </w:tc>
        <w:tc>
          <w:tcPr>
            <w:tcW w:w="385" w:type="dxa"/>
            <w:tcBorders>
              <w:top w:val="nil"/>
              <w:left w:val="nil"/>
              <w:bottom w:val="nil"/>
              <w:right w:val="single" w:color="auto" w:sz="4" w:space="0"/>
            </w:tcBorders>
          </w:tcPr>
          <w:p>
            <w:pPr>
              <w:widowControl/>
              <w:jc w:val="left"/>
              <w:rPr>
                <w:rFonts w:ascii="宋体"/>
                <w:color w:val="000000"/>
                <w:kern w:val="0"/>
                <w:sz w:val="24"/>
              </w:rPr>
            </w:pPr>
            <w:r>
              <w:rPr>
                <w:rFonts w:hint="eastAsia" w:ascii="宋体"/>
                <w:color w:val="000000"/>
                <w:kern w:val="0"/>
                <w:sz w:val="24"/>
              </w:rPr>
              <w:t>8</w:t>
            </w:r>
          </w:p>
        </w:tc>
      </w:tr>
      <w:tr>
        <w:tblPrEx>
          <w:tblLayout w:type="fixed"/>
          <w:tblCellMar>
            <w:top w:w="0" w:type="dxa"/>
            <w:left w:w="108" w:type="dxa"/>
            <w:bottom w:w="0" w:type="dxa"/>
            <w:right w:w="108" w:type="dxa"/>
          </w:tblCellMar>
        </w:tblPrEx>
        <w:trPr>
          <w:trHeight w:val="567" w:hRule="atLeast"/>
          <w:jc w:val="center"/>
        </w:trPr>
        <w:tc>
          <w:tcPr>
            <w:tcW w:w="6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127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3080"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计划成本：项目实施单位为完成工作目标计划安排的支出，一般以项目预算为参考。</w:t>
            </w:r>
          </w:p>
        </w:tc>
        <w:tc>
          <w:tcPr>
            <w:tcW w:w="385" w:type="dxa"/>
            <w:tcBorders>
              <w:top w:val="nil"/>
              <w:left w:val="nil"/>
              <w:bottom w:val="single" w:color="auto" w:sz="4" w:space="0"/>
              <w:right w:val="single" w:color="auto" w:sz="4" w:space="0"/>
            </w:tcBorders>
          </w:tcPr>
          <w:p>
            <w:pPr>
              <w:widowControl/>
              <w:rPr>
                <w:rFonts w:ascii="宋体"/>
                <w:color w:val="000000"/>
                <w:kern w:val="0"/>
                <w:sz w:val="24"/>
              </w:rPr>
            </w:pPr>
          </w:p>
        </w:tc>
      </w:tr>
      <w:tr>
        <w:tblPrEx>
          <w:tblLayout w:type="fixed"/>
          <w:tblCellMar>
            <w:top w:w="0" w:type="dxa"/>
            <w:left w:w="108" w:type="dxa"/>
            <w:bottom w:w="0" w:type="dxa"/>
            <w:right w:w="108" w:type="dxa"/>
          </w:tblCellMar>
        </w:tblPrEx>
        <w:trPr>
          <w:trHeight w:val="667" w:hRule="atLeast"/>
          <w:jc w:val="center"/>
        </w:trPr>
        <w:tc>
          <w:tcPr>
            <w:tcW w:w="65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效果</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20</w:t>
            </w:r>
            <w:r>
              <w:rPr>
                <w:rFonts w:hint="eastAsia" w:ascii="仿宋_GB2312" w:hAnsi="宋体" w:eastAsia="仿宋_GB2312"/>
                <w:color w:val="000000"/>
                <w:kern w:val="0"/>
                <w:sz w:val="20"/>
                <w:szCs w:val="20"/>
              </w:rPr>
              <w:t>分）</w:t>
            </w:r>
          </w:p>
        </w:tc>
        <w:tc>
          <w:tcPr>
            <w:tcW w:w="71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项目效益</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20</w:t>
            </w:r>
            <w:r>
              <w:rPr>
                <w:rFonts w:hint="eastAsia" w:ascii="仿宋_GB2312" w:hAnsi="宋体" w:eastAsia="仿宋_GB2312"/>
                <w:color w:val="000000"/>
                <w:kern w:val="0"/>
                <w:sz w:val="20"/>
                <w:szCs w:val="20"/>
              </w:rPr>
              <w:t>分）</w:t>
            </w: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经济效益</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4</w:t>
            </w:r>
            <w:r>
              <w:rPr>
                <w:rFonts w:hint="eastAsia" w:ascii="仿宋_GB2312" w:hAnsi="宋体" w:eastAsia="仿宋_GB2312"/>
                <w:color w:val="000000"/>
                <w:kern w:val="0"/>
                <w:sz w:val="20"/>
                <w:szCs w:val="20"/>
              </w:rPr>
              <w:t>分）</w:t>
            </w:r>
          </w:p>
        </w:tc>
        <w:tc>
          <w:tcPr>
            <w:tcW w:w="3080" w:type="dxa"/>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项目实施对经济发展所带来的直接或间接影响情况。</w:t>
            </w:r>
          </w:p>
        </w:tc>
        <w:tc>
          <w:tcPr>
            <w:tcW w:w="4502"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此四项指标为设置项目支出</w:t>
            </w:r>
            <w:r>
              <w:rPr>
                <w:rFonts w:hint="eastAsia" w:ascii="仿宋_GB2312" w:hAnsi="宋体"/>
                <w:color w:val="000000"/>
                <w:kern w:val="0"/>
                <w:sz w:val="20"/>
                <w:szCs w:val="20"/>
              </w:rPr>
              <w:t>績</w:t>
            </w:r>
            <w:r>
              <w:rPr>
                <w:rFonts w:hint="eastAsia" w:ascii="仿宋_GB2312" w:hAnsi="宋体" w:eastAsia="仿宋_GB2312"/>
                <w:color w:val="000000"/>
                <w:kern w:val="0"/>
                <w:sz w:val="20"/>
                <w:szCs w:val="20"/>
              </w:rPr>
              <w:t>效评价指标时必须考虑的共性要素，可根据项目实际并结合绩效目标设立情况有选择的进行设置，并将其细化为相应的个性化指标。</w:t>
            </w:r>
          </w:p>
        </w:tc>
        <w:tc>
          <w:tcPr>
            <w:tcW w:w="385" w:type="dxa"/>
            <w:tcBorders>
              <w:top w:val="single" w:color="auto" w:sz="4" w:space="0"/>
              <w:left w:val="single" w:color="auto" w:sz="4" w:space="0"/>
              <w:bottom w:val="single" w:color="auto" w:sz="4" w:space="0"/>
              <w:right w:val="single" w:color="auto" w:sz="4" w:space="0"/>
            </w:tcBorders>
          </w:tcPr>
          <w:p>
            <w:pPr>
              <w:widowControl/>
              <w:rPr>
                <w:rFonts w:ascii="宋体"/>
                <w:color w:val="000000"/>
                <w:kern w:val="0"/>
                <w:sz w:val="24"/>
              </w:rPr>
            </w:pPr>
          </w:p>
          <w:p>
            <w:pPr>
              <w:widowControl/>
              <w:rPr>
                <w:rFonts w:ascii="宋体"/>
                <w:color w:val="000000"/>
                <w:kern w:val="0"/>
                <w:sz w:val="24"/>
              </w:rPr>
            </w:pPr>
            <w:r>
              <w:rPr>
                <w:rFonts w:hint="eastAsia" w:ascii="宋体"/>
                <w:color w:val="000000"/>
                <w:kern w:val="0"/>
                <w:sz w:val="24"/>
              </w:rPr>
              <w:t>4</w:t>
            </w:r>
          </w:p>
        </w:tc>
      </w:tr>
      <w:tr>
        <w:tblPrEx>
          <w:tblLayout w:type="fixed"/>
          <w:tblCellMar>
            <w:top w:w="0" w:type="dxa"/>
            <w:left w:w="108" w:type="dxa"/>
            <w:bottom w:w="0" w:type="dxa"/>
            <w:right w:w="108" w:type="dxa"/>
          </w:tblCellMar>
        </w:tblPrEx>
        <w:trPr>
          <w:trHeight w:val="604" w:hRule="atLeast"/>
          <w:jc w:val="center"/>
        </w:trPr>
        <w:tc>
          <w:tcPr>
            <w:tcW w:w="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社会效益</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3</w:t>
            </w:r>
            <w:r>
              <w:rPr>
                <w:rFonts w:hint="eastAsia" w:ascii="仿宋_GB2312" w:hAnsi="宋体" w:eastAsia="仿宋_GB2312"/>
                <w:color w:val="000000"/>
                <w:kern w:val="0"/>
                <w:sz w:val="20"/>
                <w:szCs w:val="20"/>
              </w:rPr>
              <w:t>分）</w:t>
            </w:r>
          </w:p>
        </w:tc>
        <w:tc>
          <w:tcPr>
            <w:tcW w:w="3080" w:type="dxa"/>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项目实施对社会发展所带来的直接或间接影响情况。</w:t>
            </w:r>
          </w:p>
        </w:tc>
        <w:tc>
          <w:tcPr>
            <w:tcW w:w="450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85" w:type="dxa"/>
            <w:tcBorders>
              <w:top w:val="single" w:color="auto" w:sz="4" w:space="0"/>
              <w:left w:val="single" w:color="auto" w:sz="4" w:space="0"/>
              <w:bottom w:val="single" w:color="auto" w:sz="4" w:space="0"/>
              <w:right w:val="single" w:color="auto" w:sz="4" w:space="0"/>
            </w:tcBorders>
          </w:tcPr>
          <w:p>
            <w:pPr>
              <w:widowControl/>
              <w:jc w:val="left"/>
              <w:rPr>
                <w:rFonts w:ascii="宋体"/>
                <w:color w:val="000000"/>
                <w:kern w:val="0"/>
                <w:sz w:val="24"/>
              </w:rPr>
            </w:pPr>
          </w:p>
          <w:p>
            <w:pPr>
              <w:widowControl/>
              <w:jc w:val="left"/>
              <w:rPr>
                <w:rFonts w:ascii="宋体"/>
                <w:color w:val="000000"/>
                <w:kern w:val="0"/>
                <w:sz w:val="24"/>
              </w:rPr>
            </w:pPr>
            <w:r>
              <w:rPr>
                <w:rFonts w:hint="eastAsia" w:ascii="宋体"/>
                <w:color w:val="000000"/>
                <w:kern w:val="0"/>
                <w:sz w:val="24"/>
              </w:rPr>
              <w:t>2</w:t>
            </w:r>
          </w:p>
        </w:tc>
      </w:tr>
      <w:tr>
        <w:tblPrEx>
          <w:tblLayout w:type="fixed"/>
          <w:tblCellMar>
            <w:top w:w="0" w:type="dxa"/>
            <w:left w:w="108" w:type="dxa"/>
            <w:bottom w:w="0" w:type="dxa"/>
            <w:right w:w="108" w:type="dxa"/>
          </w:tblCellMar>
        </w:tblPrEx>
        <w:trPr>
          <w:trHeight w:val="755" w:hRule="atLeast"/>
          <w:jc w:val="center"/>
        </w:trPr>
        <w:tc>
          <w:tcPr>
            <w:tcW w:w="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生态效益</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3</w:t>
            </w:r>
            <w:r>
              <w:rPr>
                <w:rFonts w:hint="eastAsia" w:ascii="仿宋_GB2312" w:hAnsi="宋体" w:eastAsia="仿宋_GB2312"/>
                <w:color w:val="000000"/>
                <w:kern w:val="0"/>
                <w:sz w:val="20"/>
                <w:szCs w:val="20"/>
              </w:rPr>
              <w:t>分）</w:t>
            </w:r>
          </w:p>
        </w:tc>
        <w:tc>
          <w:tcPr>
            <w:tcW w:w="3080" w:type="dxa"/>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项目实施对生态环境所带来的直接或间接影响情况。</w:t>
            </w:r>
          </w:p>
        </w:tc>
        <w:tc>
          <w:tcPr>
            <w:tcW w:w="450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85" w:type="dxa"/>
            <w:tcBorders>
              <w:top w:val="single" w:color="auto" w:sz="4" w:space="0"/>
              <w:left w:val="single" w:color="auto" w:sz="4" w:space="0"/>
              <w:bottom w:val="single" w:color="auto" w:sz="4" w:space="0"/>
              <w:right w:val="single" w:color="auto" w:sz="4" w:space="0"/>
            </w:tcBorders>
          </w:tcPr>
          <w:p>
            <w:pPr>
              <w:widowControl/>
              <w:jc w:val="left"/>
              <w:rPr>
                <w:rFonts w:ascii="宋体"/>
                <w:color w:val="000000"/>
                <w:kern w:val="0"/>
                <w:sz w:val="24"/>
              </w:rPr>
            </w:pPr>
          </w:p>
          <w:p>
            <w:pPr>
              <w:widowControl/>
              <w:jc w:val="left"/>
              <w:rPr>
                <w:rFonts w:ascii="宋体"/>
                <w:color w:val="000000"/>
                <w:kern w:val="0"/>
                <w:sz w:val="24"/>
              </w:rPr>
            </w:pPr>
            <w:r>
              <w:rPr>
                <w:rFonts w:hint="eastAsia" w:ascii="宋体"/>
                <w:color w:val="000000"/>
                <w:kern w:val="0"/>
                <w:sz w:val="24"/>
              </w:rPr>
              <w:t>2</w:t>
            </w:r>
          </w:p>
        </w:tc>
      </w:tr>
      <w:tr>
        <w:tblPrEx>
          <w:tblLayout w:type="fixed"/>
          <w:tblCellMar>
            <w:top w:w="0" w:type="dxa"/>
            <w:left w:w="108" w:type="dxa"/>
            <w:bottom w:w="0" w:type="dxa"/>
            <w:right w:w="108" w:type="dxa"/>
          </w:tblCellMar>
        </w:tblPrEx>
        <w:trPr>
          <w:trHeight w:val="596" w:hRule="atLeast"/>
          <w:jc w:val="center"/>
        </w:trPr>
        <w:tc>
          <w:tcPr>
            <w:tcW w:w="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可持续影响（</w:t>
            </w:r>
            <w:r>
              <w:rPr>
                <w:rFonts w:ascii="仿宋_GB2312" w:hAnsi="宋体" w:eastAsia="仿宋_GB2312"/>
                <w:color w:val="000000"/>
                <w:kern w:val="0"/>
                <w:sz w:val="20"/>
                <w:szCs w:val="20"/>
              </w:rPr>
              <w:t>4</w:t>
            </w:r>
            <w:r>
              <w:rPr>
                <w:rFonts w:hint="eastAsia" w:ascii="仿宋_GB2312" w:hAnsi="宋体" w:eastAsia="仿宋_GB2312"/>
                <w:color w:val="000000"/>
                <w:kern w:val="0"/>
                <w:sz w:val="20"/>
                <w:szCs w:val="20"/>
              </w:rPr>
              <w:t>分）</w:t>
            </w:r>
          </w:p>
        </w:tc>
        <w:tc>
          <w:tcPr>
            <w:tcW w:w="3080" w:type="dxa"/>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项目后续运行及成效发挥的可持续影响情况。</w:t>
            </w:r>
          </w:p>
        </w:tc>
        <w:tc>
          <w:tcPr>
            <w:tcW w:w="450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385" w:type="dxa"/>
            <w:tcBorders>
              <w:top w:val="single" w:color="auto" w:sz="4" w:space="0"/>
              <w:left w:val="single" w:color="auto" w:sz="4" w:space="0"/>
              <w:bottom w:val="single" w:color="auto" w:sz="4" w:space="0"/>
              <w:right w:val="single" w:color="auto" w:sz="4" w:space="0"/>
            </w:tcBorders>
          </w:tcPr>
          <w:p>
            <w:pPr>
              <w:widowControl/>
              <w:jc w:val="left"/>
              <w:rPr>
                <w:rFonts w:ascii="宋体"/>
                <w:color w:val="000000"/>
                <w:kern w:val="0"/>
                <w:sz w:val="24"/>
              </w:rPr>
            </w:pPr>
          </w:p>
          <w:p>
            <w:pPr>
              <w:widowControl/>
              <w:jc w:val="left"/>
              <w:rPr>
                <w:rFonts w:ascii="宋体"/>
                <w:color w:val="000000"/>
                <w:kern w:val="0"/>
                <w:sz w:val="24"/>
              </w:rPr>
            </w:pPr>
            <w:r>
              <w:rPr>
                <w:rFonts w:hint="eastAsia" w:ascii="宋体"/>
                <w:color w:val="000000"/>
                <w:kern w:val="0"/>
                <w:sz w:val="24"/>
              </w:rPr>
              <w:t>3</w:t>
            </w:r>
          </w:p>
        </w:tc>
      </w:tr>
      <w:tr>
        <w:tblPrEx>
          <w:tblLayout w:type="fixed"/>
          <w:tblCellMar>
            <w:top w:w="0" w:type="dxa"/>
            <w:left w:w="108" w:type="dxa"/>
            <w:bottom w:w="0" w:type="dxa"/>
            <w:right w:w="108" w:type="dxa"/>
          </w:tblCellMar>
        </w:tblPrEx>
        <w:trPr>
          <w:trHeight w:val="916" w:hRule="atLeast"/>
          <w:jc w:val="center"/>
        </w:trPr>
        <w:tc>
          <w:tcPr>
            <w:tcW w:w="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olor w:val="000000"/>
                <w:kern w:val="0"/>
                <w:sz w:val="18"/>
                <w:szCs w:val="18"/>
              </w:rPr>
            </w:pPr>
            <w:r>
              <w:rPr>
                <w:rFonts w:hint="eastAsia" w:ascii="仿宋_GB2312" w:hAnsi="宋体" w:eastAsia="仿宋_GB2312"/>
                <w:color w:val="000000"/>
                <w:kern w:val="0"/>
                <w:sz w:val="18"/>
                <w:szCs w:val="18"/>
              </w:rPr>
              <w:t>社会公众或服务对象满意度（</w:t>
            </w:r>
            <w:r>
              <w:rPr>
                <w:rFonts w:ascii="仿宋_GB2312" w:hAnsi="宋体" w:eastAsia="仿宋_GB2312"/>
                <w:color w:val="000000"/>
                <w:kern w:val="0"/>
                <w:sz w:val="18"/>
                <w:szCs w:val="18"/>
              </w:rPr>
              <w:t>6</w:t>
            </w:r>
            <w:r>
              <w:rPr>
                <w:rFonts w:hint="eastAsia" w:ascii="仿宋_GB2312" w:hAnsi="宋体" w:eastAsia="仿宋_GB2312"/>
                <w:color w:val="000000"/>
                <w:kern w:val="0"/>
                <w:sz w:val="18"/>
                <w:szCs w:val="18"/>
              </w:rPr>
              <w:t>分）</w:t>
            </w:r>
          </w:p>
        </w:tc>
        <w:tc>
          <w:tcPr>
            <w:tcW w:w="3080" w:type="dxa"/>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社会公众或服务对象对项目实施效策的满意程度</w:t>
            </w:r>
          </w:p>
        </w:tc>
        <w:tc>
          <w:tcPr>
            <w:tcW w:w="4502" w:type="dxa"/>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olor w:val="000000"/>
                <w:kern w:val="0"/>
                <w:sz w:val="18"/>
                <w:szCs w:val="18"/>
              </w:rPr>
            </w:pPr>
            <w:r>
              <w:rPr>
                <w:rFonts w:hint="eastAsia" w:ascii="仿宋_GB2312" w:hAnsi="宋体" w:eastAsia="仿宋_GB2312"/>
                <w:color w:val="000000"/>
                <w:kern w:val="0"/>
                <w:sz w:val="18"/>
                <w:szCs w:val="18"/>
              </w:rPr>
              <w:t>社会公众或服务对象是指因该项目实施而受到影响的部门</w:t>
            </w:r>
            <w:r>
              <w:rPr>
                <w:rFonts w:ascii="仿宋_GB2312" w:hAnsi="宋体" w:eastAsia="仿宋_GB2312"/>
                <w:color w:val="000000"/>
                <w:kern w:val="0"/>
                <w:sz w:val="18"/>
                <w:szCs w:val="18"/>
              </w:rPr>
              <w:t>(</w:t>
            </w:r>
            <w:r>
              <w:rPr>
                <w:rFonts w:hint="eastAsia" w:ascii="仿宋_GB2312" w:hAnsi="宋体" w:eastAsia="仿宋_GB2312"/>
                <w:color w:val="000000"/>
                <w:kern w:val="0"/>
                <w:sz w:val="18"/>
                <w:szCs w:val="18"/>
              </w:rPr>
              <w:t>单位</w:t>
            </w:r>
            <w:r>
              <w:rPr>
                <w:rFonts w:ascii="仿宋_GB2312" w:hAnsi="宋体" w:eastAsia="仿宋_GB2312"/>
                <w:color w:val="000000"/>
                <w:kern w:val="0"/>
                <w:sz w:val="18"/>
                <w:szCs w:val="18"/>
              </w:rPr>
              <w:t>)</w:t>
            </w:r>
            <w:r>
              <w:rPr>
                <w:rFonts w:hint="eastAsia" w:ascii="仿宋_GB2312" w:hAnsi="宋体" w:eastAsia="仿宋_GB2312"/>
                <w:color w:val="000000"/>
                <w:kern w:val="0"/>
                <w:sz w:val="18"/>
                <w:szCs w:val="18"/>
              </w:rPr>
              <w:t>、群体或个人。一般采取社会调查的方式。</w:t>
            </w:r>
          </w:p>
        </w:tc>
        <w:tc>
          <w:tcPr>
            <w:tcW w:w="385" w:type="dxa"/>
            <w:tcBorders>
              <w:top w:val="single" w:color="auto" w:sz="4" w:space="0"/>
              <w:left w:val="single" w:color="auto" w:sz="4" w:space="0"/>
              <w:bottom w:val="single" w:color="auto" w:sz="4" w:space="0"/>
              <w:right w:val="single" w:color="auto" w:sz="4" w:space="0"/>
            </w:tcBorders>
          </w:tcPr>
          <w:p>
            <w:pPr>
              <w:widowControl/>
              <w:rPr>
                <w:rFonts w:ascii="宋体"/>
                <w:color w:val="000000"/>
                <w:kern w:val="0"/>
                <w:sz w:val="24"/>
              </w:rPr>
            </w:pPr>
          </w:p>
          <w:p>
            <w:pPr>
              <w:widowControl/>
              <w:rPr>
                <w:rFonts w:ascii="宋体"/>
                <w:color w:val="000000"/>
                <w:kern w:val="0"/>
                <w:sz w:val="24"/>
              </w:rPr>
            </w:pPr>
            <w:r>
              <w:rPr>
                <w:rFonts w:hint="eastAsia" w:ascii="宋体"/>
                <w:color w:val="000000"/>
                <w:kern w:val="0"/>
                <w:sz w:val="24"/>
              </w:rPr>
              <w:t>5</w:t>
            </w:r>
          </w:p>
        </w:tc>
      </w:tr>
      <w:tr>
        <w:tblPrEx>
          <w:tblLayout w:type="fixed"/>
          <w:tblCellMar>
            <w:top w:w="0" w:type="dxa"/>
            <w:left w:w="108" w:type="dxa"/>
            <w:bottom w:w="0" w:type="dxa"/>
            <w:right w:w="108" w:type="dxa"/>
          </w:tblCellMar>
        </w:tblPrEx>
        <w:trPr>
          <w:trHeight w:val="916" w:hRule="atLeast"/>
          <w:jc w:val="center"/>
        </w:trPr>
        <w:tc>
          <w:tcPr>
            <w:tcW w:w="10223"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olor w:val="000000"/>
                <w:kern w:val="0"/>
                <w:sz w:val="18"/>
                <w:szCs w:val="18"/>
              </w:rPr>
            </w:pPr>
            <w:r>
              <w:rPr>
                <w:rFonts w:hint="eastAsia" w:ascii="仿宋_GB2312" w:hAnsi="宋体" w:eastAsia="仿宋_GB2312"/>
                <w:color w:val="000000"/>
                <w:kern w:val="0"/>
                <w:sz w:val="24"/>
                <w:szCs w:val="24"/>
              </w:rPr>
              <w:t>合计得分</w:t>
            </w:r>
          </w:p>
        </w:tc>
        <w:tc>
          <w:tcPr>
            <w:tcW w:w="385" w:type="dxa"/>
            <w:tcBorders>
              <w:top w:val="single" w:color="auto" w:sz="4" w:space="0"/>
              <w:left w:val="single" w:color="auto" w:sz="4" w:space="0"/>
              <w:bottom w:val="single" w:color="auto" w:sz="4" w:space="0"/>
              <w:right w:val="single" w:color="auto" w:sz="4" w:space="0"/>
            </w:tcBorders>
          </w:tcPr>
          <w:p>
            <w:pPr>
              <w:widowControl/>
              <w:rPr>
                <w:rFonts w:hint="default" w:ascii="宋体" w:eastAsia="宋体"/>
                <w:color w:val="000000"/>
                <w:kern w:val="0"/>
                <w:sz w:val="24"/>
                <w:lang w:val="en-US" w:eastAsia="zh-CN"/>
              </w:rPr>
            </w:pPr>
            <w:r>
              <w:rPr>
                <w:rFonts w:hint="eastAsia" w:ascii="宋体"/>
                <w:color w:val="000000"/>
                <w:kern w:val="0"/>
                <w:sz w:val="24"/>
                <w:lang w:val="en-US" w:eastAsia="zh-CN"/>
              </w:rPr>
              <w:t>96</w:t>
            </w:r>
          </w:p>
        </w:tc>
      </w:tr>
    </w:tbl>
    <w:p>
      <w:pPr>
        <w:rPr>
          <w:rFonts w:hint="eastAsia" w:eastAsia="仿宋_GB2312"/>
          <w:sz w:val="32"/>
          <w:szCs w:val="32"/>
        </w:rPr>
      </w:pPr>
    </w:p>
    <w:p>
      <w:pPr>
        <w:jc w:val="center"/>
        <w:rPr>
          <w:rFonts w:hint="eastAsia" w:asciiTheme="majorEastAsia" w:hAnsiTheme="majorEastAsia" w:eastAsiaTheme="majorEastAsia" w:cstheme="majorEastAsia"/>
          <w:b/>
          <w:bCs/>
          <w:sz w:val="52"/>
          <w:szCs w:val="52"/>
        </w:rPr>
      </w:pPr>
      <w:r>
        <w:rPr>
          <w:rFonts w:hint="eastAsia" w:asciiTheme="majorEastAsia" w:hAnsiTheme="majorEastAsia" w:eastAsiaTheme="majorEastAsia" w:cstheme="majorEastAsia"/>
          <w:b/>
          <w:bCs/>
          <w:color w:val="000000"/>
          <w:sz w:val="52"/>
          <w:szCs w:val="52"/>
          <w:lang w:eastAsia="zh-CN"/>
        </w:rPr>
        <w:t>伊塘镇</w:t>
      </w:r>
      <w:r>
        <w:rPr>
          <w:rFonts w:hint="eastAsia" w:asciiTheme="majorEastAsia" w:hAnsiTheme="majorEastAsia" w:eastAsiaTheme="majorEastAsia" w:cstheme="majorEastAsia"/>
          <w:b/>
          <w:bCs/>
          <w:color w:val="000000"/>
          <w:sz w:val="52"/>
          <w:szCs w:val="52"/>
        </w:rPr>
        <w:t>2018</w:t>
      </w:r>
      <w:r>
        <w:rPr>
          <w:rFonts w:hint="eastAsia" w:asciiTheme="majorEastAsia" w:hAnsiTheme="majorEastAsia" w:eastAsiaTheme="majorEastAsia" w:cstheme="majorEastAsia"/>
          <w:b/>
          <w:bCs/>
          <w:sz w:val="52"/>
          <w:szCs w:val="52"/>
        </w:rPr>
        <w:t>年度部门整体支出绩效自评报告</w:t>
      </w:r>
    </w:p>
    <w:p>
      <w:pPr>
        <w:ind w:firstLine="420" w:firstLineChars="200"/>
        <w:jc w:val="center"/>
      </w:pPr>
    </w:p>
    <w:p>
      <w:pPr>
        <w:ind w:firstLine="562" w:firstLineChars="200"/>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一、部门概况</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（一）部门基本情况。</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主要职能：</w:t>
      </w:r>
      <w:r>
        <w:rPr>
          <w:rFonts w:hint="eastAsia" w:asciiTheme="minorEastAsia" w:hAnsiTheme="minorEastAsia" w:eastAsiaTheme="minorEastAsia" w:cstheme="minorEastAsia"/>
          <w:sz w:val="28"/>
          <w:szCs w:val="28"/>
        </w:rPr>
        <w:t>1、基层组织建设工作；2、农业农村工作（含新农村建设、退耕还林、农业产业结构调整、林权改革工作、疾病防疫工作、防汛抗旱工作、粮食生产工作等）；3、森林防火工作；4、计划生育工作；5、社会稳定工作；6、社会事务工作（含农村合作医疗、民政、残联、劳动保障等工作）。</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机构情况：</w:t>
      </w:r>
      <w:r>
        <w:rPr>
          <w:rFonts w:hint="eastAsia" w:asciiTheme="minorEastAsia" w:hAnsiTheme="minorEastAsia" w:eastAsiaTheme="minorEastAsia" w:cstheme="minorEastAsia"/>
          <w:sz w:val="28"/>
          <w:szCs w:val="28"/>
        </w:rPr>
        <w:t>我单位组成机构有党委、人大、政府（经管站、文化站、农技站、农机站、企业办、兽医站、林业站、水管站）、政协等部门。</w:t>
      </w:r>
    </w:p>
    <w:p>
      <w:pPr>
        <w:spacing w:line="46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人员情况：</w:t>
      </w:r>
      <w:r>
        <w:rPr>
          <w:rFonts w:hint="eastAsia" w:asciiTheme="minorEastAsia" w:hAnsiTheme="minorEastAsia" w:eastAsiaTheme="minorEastAsia" w:cstheme="minorEastAsia"/>
          <w:sz w:val="28"/>
          <w:szCs w:val="28"/>
        </w:rPr>
        <w:t>我单位现有编制</w:t>
      </w:r>
      <w:r>
        <w:rPr>
          <w:rFonts w:hint="eastAsia" w:asciiTheme="minorEastAsia" w:hAnsiTheme="minorEastAsia" w:eastAsiaTheme="minorEastAsia" w:cstheme="minorEastAsia"/>
          <w:sz w:val="28"/>
          <w:szCs w:val="28"/>
          <w:lang w:val="en-US" w:eastAsia="zh-CN"/>
        </w:rPr>
        <w:t>67</w:t>
      </w:r>
      <w:r>
        <w:rPr>
          <w:rFonts w:hint="eastAsia" w:asciiTheme="minorEastAsia" w:hAnsiTheme="minorEastAsia" w:eastAsiaTheme="minorEastAsia" w:cstheme="minorEastAsia"/>
          <w:sz w:val="28"/>
          <w:szCs w:val="28"/>
        </w:rPr>
        <w:t>人，其中行政编制</w:t>
      </w:r>
      <w:r>
        <w:rPr>
          <w:rFonts w:hint="eastAsia" w:asciiTheme="minorEastAsia" w:hAnsiTheme="minorEastAsia" w:eastAsiaTheme="minorEastAsia" w:cstheme="minorEastAsia"/>
          <w:sz w:val="28"/>
          <w:szCs w:val="28"/>
          <w:lang w:val="en-US" w:eastAsia="zh-CN"/>
        </w:rPr>
        <w:t>18</w:t>
      </w:r>
      <w:r>
        <w:rPr>
          <w:rFonts w:hint="eastAsia" w:asciiTheme="minorEastAsia" w:hAnsiTheme="minorEastAsia" w:eastAsiaTheme="minorEastAsia" w:cstheme="minorEastAsia"/>
          <w:sz w:val="28"/>
          <w:szCs w:val="28"/>
        </w:rPr>
        <w:t>人，事业编制</w:t>
      </w:r>
      <w:r>
        <w:rPr>
          <w:rFonts w:hint="eastAsia" w:asciiTheme="minorEastAsia" w:hAnsiTheme="minorEastAsia" w:eastAsiaTheme="minorEastAsia" w:cstheme="minorEastAsia"/>
          <w:sz w:val="28"/>
          <w:szCs w:val="28"/>
          <w:lang w:val="en-US" w:eastAsia="zh-CN"/>
        </w:rPr>
        <w:t>49</w:t>
      </w:r>
      <w:r>
        <w:rPr>
          <w:rFonts w:hint="eastAsia" w:asciiTheme="minorEastAsia" w:hAnsiTheme="minorEastAsia" w:eastAsiaTheme="minorEastAsia" w:cstheme="minorEastAsia"/>
          <w:sz w:val="28"/>
          <w:szCs w:val="28"/>
        </w:rPr>
        <w:t>人。现有在职人员89人，其中正科级</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人，副科级1</w:t>
      </w:r>
      <w:r>
        <w:rPr>
          <w:rFonts w:hint="eastAsia" w:asciiTheme="minorEastAsia" w:hAnsiTheme="minorEastAsia" w:eastAsiaTheme="minorEastAsia" w:cstheme="minorEastAsia"/>
          <w:sz w:val="28"/>
          <w:szCs w:val="28"/>
          <w:lang w:val="en-US" w:eastAsia="zh-CN"/>
        </w:rPr>
        <w:t>0</w:t>
      </w:r>
      <w:r>
        <w:rPr>
          <w:rFonts w:hint="eastAsia" w:asciiTheme="minorEastAsia" w:hAnsiTheme="minorEastAsia" w:eastAsiaTheme="minorEastAsia" w:cstheme="minorEastAsia"/>
          <w:sz w:val="28"/>
          <w:szCs w:val="28"/>
        </w:rPr>
        <w:t>人，科员</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人，执行事业单位工资标准人员</w:t>
      </w:r>
      <w:r>
        <w:rPr>
          <w:rFonts w:hint="eastAsia" w:asciiTheme="minorEastAsia" w:hAnsiTheme="minorEastAsia" w:eastAsiaTheme="minorEastAsia" w:cstheme="minorEastAsia"/>
          <w:sz w:val="28"/>
          <w:szCs w:val="28"/>
          <w:lang w:val="en-US" w:eastAsia="zh-CN"/>
        </w:rPr>
        <w:t>49</w:t>
      </w:r>
      <w:r>
        <w:rPr>
          <w:rFonts w:hint="eastAsia" w:asciiTheme="minorEastAsia" w:hAnsiTheme="minorEastAsia" w:eastAsiaTheme="minorEastAsia" w:cstheme="minorEastAsia"/>
          <w:sz w:val="28"/>
          <w:szCs w:val="28"/>
        </w:rPr>
        <w:t>人（含五站一办人员9人，其中编外人员</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人），退休19人。车辆编制及实有数为</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辆。</w:t>
      </w:r>
    </w:p>
    <w:p>
      <w:pPr>
        <w:ind w:firstLine="560" w:firstLineChars="200"/>
        <w:rPr>
          <w:rFonts w:hint="eastAsia" w:asciiTheme="minorEastAsia" w:hAnsiTheme="minorEastAsia" w:eastAsiaTheme="minorEastAsia" w:cstheme="minorEastAsia"/>
          <w:sz w:val="28"/>
          <w:szCs w:val="28"/>
        </w:rPr>
      </w:pPr>
    </w:p>
    <w:p>
      <w:pPr>
        <w:numPr>
          <w:ilvl w:val="0"/>
          <w:numId w:val="0"/>
        </w:num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（二）2018年的重点工作</w:t>
      </w:r>
    </w:p>
    <w:p>
      <w:pPr>
        <w:numPr>
          <w:ilvl w:val="0"/>
          <w:numId w:val="0"/>
        </w:numPr>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lang w:eastAsia="zh-CN"/>
        </w:rPr>
        <w:t>以产业发展为核心</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优化产业结构</w:t>
      </w:r>
    </w:p>
    <w:p>
      <w:pPr>
        <w:numPr>
          <w:ilvl w:val="0"/>
          <w:numId w:val="0"/>
        </w:numPr>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lang w:eastAsia="zh-CN"/>
        </w:rPr>
        <w:t>以生态建设为己任，改善人居环境。</w:t>
      </w:r>
    </w:p>
    <w:p>
      <w:pPr>
        <w:numPr>
          <w:ilvl w:val="0"/>
          <w:numId w:val="0"/>
        </w:numPr>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lang w:eastAsia="zh-CN"/>
        </w:rPr>
        <w:t>以民生建设为基础，提高</w:t>
      </w:r>
      <w:r>
        <w:rPr>
          <w:rFonts w:hint="eastAsia" w:asciiTheme="minorEastAsia" w:hAnsiTheme="minorEastAsia" w:eastAsiaTheme="minorEastAsia" w:cstheme="minorEastAsia"/>
          <w:sz w:val="28"/>
          <w:szCs w:val="28"/>
        </w:rPr>
        <w:t>民生福祉。</w:t>
      </w:r>
    </w:p>
    <w:p>
      <w:pPr>
        <w:numPr>
          <w:ilvl w:val="0"/>
          <w:numId w:val="0"/>
        </w:numPr>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lang w:eastAsia="zh-CN"/>
        </w:rPr>
        <w:t>以廉政</w:t>
      </w:r>
      <w:r>
        <w:rPr>
          <w:rFonts w:hint="eastAsia" w:asciiTheme="minorEastAsia" w:hAnsiTheme="minorEastAsia" w:eastAsiaTheme="minorEastAsia" w:cstheme="minorEastAsia"/>
          <w:sz w:val="28"/>
          <w:szCs w:val="28"/>
        </w:rPr>
        <w:t>建设</w:t>
      </w:r>
      <w:r>
        <w:rPr>
          <w:rFonts w:hint="eastAsia" w:asciiTheme="minorEastAsia" w:hAnsiTheme="minorEastAsia" w:eastAsiaTheme="minorEastAsia" w:cstheme="minorEastAsia"/>
          <w:sz w:val="28"/>
          <w:szCs w:val="28"/>
          <w:lang w:eastAsia="zh-CN"/>
        </w:rPr>
        <w:t>为统领</w:t>
      </w:r>
      <w:r>
        <w:rPr>
          <w:rFonts w:hint="eastAsia" w:asciiTheme="minorEastAsia" w:hAnsiTheme="minorEastAsia" w:eastAsiaTheme="minorEastAsia" w:cstheme="minorEastAsia"/>
          <w:sz w:val="28"/>
          <w:szCs w:val="28"/>
        </w:rPr>
        <w:t>，增强</w:t>
      </w:r>
      <w:r>
        <w:rPr>
          <w:rFonts w:hint="eastAsia" w:asciiTheme="minorEastAsia" w:hAnsiTheme="minorEastAsia" w:eastAsiaTheme="minorEastAsia" w:cstheme="minorEastAsia"/>
          <w:sz w:val="28"/>
          <w:szCs w:val="28"/>
          <w:lang w:eastAsia="zh-CN"/>
        </w:rPr>
        <w:t>政府效能</w:t>
      </w:r>
      <w:r>
        <w:rPr>
          <w:rFonts w:hint="eastAsia" w:asciiTheme="minorEastAsia" w:hAnsiTheme="minorEastAsia" w:eastAsiaTheme="minorEastAsia" w:cstheme="minorEastAsia"/>
          <w:sz w:val="28"/>
          <w:szCs w:val="28"/>
        </w:rPr>
        <w:t>。</w:t>
      </w:r>
    </w:p>
    <w:p>
      <w:pPr>
        <w:numPr>
          <w:ilvl w:val="0"/>
          <w:numId w:val="3"/>
        </w:num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部门整体支出情况</w:t>
      </w:r>
    </w:p>
    <w:p>
      <w:pPr>
        <w:numPr>
          <w:ilvl w:val="0"/>
          <w:numId w:val="0"/>
        </w:num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201</w:t>
      </w:r>
      <w:r>
        <w:rPr>
          <w:rFonts w:hint="eastAsia" w:asciiTheme="minorEastAsia" w:hAnsiTheme="minorEastAsia" w:eastAsiaTheme="minorEastAsia" w:cstheme="minorEastAsia"/>
          <w:sz w:val="28"/>
          <w:szCs w:val="28"/>
          <w:lang w:val="en-US" w:eastAsia="zh-CN"/>
        </w:rPr>
        <w:t>8</w:t>
      </w:r>
      <w:r>
        <w:rPr>
          <w:rFonts w:hint="eastAsia" w:asciiTheme="minorEastAsia" w:hAnsiTheme="minorEastAsia" w:eastAsiaTheme="minorEastAsia" w:cstheme="minorEastAsia"/>
          <w:sz w:val="28"/>
          <w:szCs w:val="28"/>
        </w:rPr>
        <w:t>年收入支出年初预算数为</w:t>
      </w:r>
      <w:r>
        <w:rPr>
          <w:rFonts w:hint="eastAsia" w:asciiTheme="minorEastAsia" w:hAnsiTheme="minorEastAsia" w:eastAsiaTheme="minorEastAsia" w:cstheme="minorEastAsia"/>
          <w:sz w:val="28"/>
          <w:szCs w:val="28"/>
          <w:lang w:val="en-US" w:eastAsia="zh-CN"/>
        </w:rPr>
        <w:t>886.297</w:t>
      </w:r>
      <w:r>
        <w:rPr>
          <w:rFonts w:hint="eastAsia" w:asciiTheme="minorEastAsia" w:hAnsiTheme="minorEastAsia" w:eastAsiaTheme="minorEastAsia" w:cstheme="minorEastAsia"/>
          <w:sz w:val="28"/>
          <w:szCs w:val="28"/>
        </w:rPr>
        <w:t>万元，调整预算数为</w:t>
      </w:r>
      <w:r>
        <w:rPr>
          <w:rFonts w:hint="eastAsia" w:asciiTheme="minorEastAsia" w:hAnsiTheme="minorEastAsia" w:eastAsiaTheme="minorEastAsia" w:cstheme="minorEastAsia"/>
          <w:sz w:val="28"/>
          <w:szCs w:val="28"/>
          <w:lang w:val="en-US" w:eastAsia="zh-CN"/>
        </w:rPr>
        <w:t>1104.97</w:t>
      </w:r>
      <w:r>
        <w:rPr>
          <w:rFonts w:hint="eastAsia" w:asciiTheme="minorEastAsia" w:hAnsiTheme="minorEastAsia" w:eastAsiaTheme="minorEastAsia" w:cstheme="minorEastAsia"/>
          <w:sz w:val="28"/>
          <w:szCs w:val="28"/>
        </w:rPr>
        <w:t>万元，年终决算数为</w:t>
      </w:r>
      <w:r>
        <w:rPr>
          <w:rFonts w:hint="eastAsia" w:asciiTheme="minorEastAsia" w:hAnsiTheme="minorEastAsia" w:eastAsiaTheme="minorEastAsia" w:cstheme="minorEastAsia"/>
          <w:sz w:val="28"/>
          <w:szCs w:val="28"/>
          <w:lang w:val="en-US" w:eastAsia="zh-CN"/>
        </w:rPr>
        <w:t>1104.97</w:t>
      </w:r>
      <w:r>
        <w:rPr>
          <w:rFonts w:hint="eastAsia" w:asciiTheme="minorEastAsia" w:hAnsiTheme="minorEastAsia" w:eastAsiaTheme="minorEastAsia" w:cstheme="minorEastAsia"/>
          <w:sz w:val="28"/>
          <w:szCs w:val="28"/>
        </w:rPr>
        <w:t>万元，其中工资福利支出</w:t>
      </w:r>
      <w:r>
        <w:rPr>
          <w:rFonts w:hint="eastAsia" w:asciiTheme="minorEastAsia" w:hAnsiTheme="minorEastAsia" w:eastAsiaTheme="minorEastAsia" w:cstheme="minorEastAsia"/>
          <w:sz w:val="28"/>
          <w:szCs w:val="28"/>
          <w:lang w:val="en-US" w:eastAsia="zh-CN"/>
        </w:rPr>
        <w:t>661.84</w:t>
      </w:r>
      <w:r>
        <w:rPr>
          <w:rFonts w:hint="eastAsia" w:asciiTheme="minorEastAsia" w:hAnsiTheme="minorEastAsia" w:eastAsiaTheme="minorEastAsia" w:cstheme="minorEastAsia"/>
          <w:sz w:val="28"/>
          <w:szCs w:val="28"/>
        </w:rPr>
        <w:t>万元，商品服务支出</w:t>
      </w:r>
      <w:r>
        <w:rPr>
          <w:rFonts w:hint="eastAsia" w:asciiTheme="minorEastAsia" w:hAnsiTheme="minorEastAsia" w:eastAsiaTheme="minorEastAsia" w:cstheme="minorEastAsia"/>
          <w:sz w:val="28"/>
          <w:szCs w:val="28"/>
          <w:lang w:val="en-US" w:eastAsia="zh-CN"/>
        </w:rPr>
        <w:t>319.1</w:t>
      </w:r>
      <w:r>
        <w:rPr>
          <w:rFonts w:hint="eastAsia" w:asciiTheme="minorEastAsia" w:hAnsiTheme="minorEastAsia" w:eastAsiaTheme="minorEastAsia" w:cstheme="minorEastAsia"/>
          <w:sz w:val="28"/>
          <w:szCs w:val="28"/>
        </w:rPr>
        <w:t>万元，对个人和家庭的补助</w:t>
      </w:r>
      <w:r>
        <w:rPr>
          <w:rFonts w:hint="eastAsia" w:asciiTheme="minorEastAsia" w:hAnsiTheme="minorEastAsia" w:eastAsiaTheme="minorEastAsia" w:cstheme="minorEastAsia"/>
          <w:sz w:val="28"/>
          <w:szCs w:val="28"/>
          <w:lang w:val="en-US" w:eastAsia="zh-CN"/>
        </w:rPr>
        <w:t>30.9</w:t>
      </w:r>
      <w:r>
        <w:rPr>
          <w:rFonts w:hint="eastAsia" w:asciiTheme="minorEastAsia" w:hAnsiTheme="minorEastAsia" w:eastAsiaTheme="minorEastAsia" w:cstheme="minorEastAsia"/>
          <w:sz w:val="28"/>
          <w:szCs w:val="28"/>
        </w:rPr>
        <w:t>万元。</w:t>
      </w:r>
    </w:p>
    <w:p>
      <w:pPr>
        <w:ind w:firstLine="562" w:firstLineChars="200"/>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二、部门整体支出管理及使用情况</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（一）基本支出情况。</w:t>
      </w:r>
    </w:p>
    <w:p>
      <w:pPr>
        <w:numPr>
          <w:ilvl w:val="0"/>
          <w:numId w:val="0"/>
        </w:num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工资福利支出</w:t>
      </w:r>
      <w:r>
        <w:rPr>
          <w:rFonts w:hint="eastAsia" w:asciiTheme="minorEastAsia" w:hAnsiTheme="minorEastAsia" w:eastAsiaTheme="minorEastAsia" w:cstheme="minorEastAsia"/>
          <w:sz w:val="28"/>
          <w:szCs w:val="28"/>
          <w:lang w:val="en-US" w:eastAsia="zh-CN"/>
        </w:rPr>
        <w:t>661.84</w:t>
      </w:r>
      <w:r>
        <w:rPr>
          <w:rFonts w:hint="eastAsia" w:asciiTheme="minorEastAsia" w:hAnsiTheme="minorEastAsia" w:eastAsiaTheme="minorEastAsia" w:cstheme="minorEastAsia"/>
          <w:sz w:val="28"/>
          <w:szCs w:val="28"/>
        </w:rPr>
        <w:t>万元，商品服务支出</w:t>
      </w:r>
      <w:r>
        <w:rPr>
          <w:rFonts w:hint="eastAsia" w:asciiTheme="minorEastAsia" w:hAnsiTheme="minorEastAsia" w:eastAsiaTheme="minorEastAsia" w:cstheme="minorEastAsia"/>
          <w:sz w:val="28"/>
          <w:szCs w:val="28"/>
          <w:lang w:val="en-US" w:eastAsia="zh-CN"/>
        </w:rPr>
        <w:t>319.1</w:t>
      </w:r>
      <w:r>
        <w:rPr>
          <w:rFonts w:hint="eastAsia" w:asciiTheme="minorEastAsia" w:hAnsiTheme="minorEastAsia" w:eastAsiaTheme="minorEastAsia" w:cstheme="minorEastAsia"/>
          <w:sz w:val="28"/>
          <w:szCs w:val="28"/>
        </w:rPr>
        <w:t>万元，对个人和家庭的补助</w:t>
      </w:r>
      <w:r>
        <w:rPr>
          <w:rFonts w:hint="eastAsia" w:asciiTheme="minorEastAsia" w:hAnsiTheme="minorEastAsia" w:eastAsiaTheme="minorEastAsia" w:cstheme="minorEastAsia"/>
          <w:sz w:val="28"/>
          <w:szCs w:val="28"/>
          <w:lang w:val="en-US" w:eastAsia="zh-CN"/>
        </w:rPr>
        <w:t>30.9</w:t>
      </w:r>
      <w:r>
        <w:rPr>
          <w:rFonts w:hint="eastAsia" w:asciiTheme="minorEastAsia" w:hAnsiTheme="minorEastAsia" w:eastAsiaTheme="minorEastAsia" w:cstheme="minorEastAsia"/>
          <w:sz w:val="28"/>
          <w:szCs w:val="28"/>
        </w:rPr>
        <w:t>万元。</w:t>
      </w:r>
    </w:p>
    <w:p>
      <w:pPr>
        <w:numPr>
          <w:ilvl w:val="0"/>
          <w:numId w:val="4"/>
        </w:num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项目支出情况。</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项目专项经费支出</w:t>
      </w:r>
      <w:r>
        <w:rPr>
          <w:rFonts w:hint="eastAsia" w:asciiTheme="minorEastAsia" w:hAnsiTheme="minorEastAsia" w:eastAsiaTheme="minorEastAsia" w:cstheme="minorEastAsia"/>
          <w:sz w:val="28"/>
          <w:szCs w:val="28"/>
          <w:lang w:val="en-US" w:eastAsia="zh-CN"/>
        </w:rPr>
        <w:t>93.13</w:t>
      </w:r>
      <w:r>
        <w:rPr>
          <w:rFonts w:hint="eastAsia" w:asciiTheme="minorEastAsia" w:hAnsiTheme="minorEastAsia" w:eastAsiaTheme="minorEastAsia" w:cstheme="minorEastAsia"/>
          <w:sz w:val="28"/>
          <w:szCs w:val="28"/>
        </w:rPr>
        <w:t>万元（其中</w:t>
      </w:r>
      <w:r>
        <w:rPr>
          <w:rFonts w:hint="eastAsia" w:asciiTheme="minorEastAsia" w:hAnsiTheme="minorEastAsia" w:eastAsiaTheme="minorEastAsia" w:cstheme="minorEastAsia"/>
          <w:sz w:val="28"/>
          <w:szCs w:val="28"/>
          <w:lang w:eastAsia="zh-CN"/>
        </w:rPr>
        <w:t>协税护税工作经费</w:t>
      </w:r>
      <w:r>
        <w:rPr>
          <w:rFonts w:hint="eastAsia" w:asciiTheme="minorEastAsia" w:hAnsiTheme="minorEastAsia" w:eastAsiaTheme="minorEastAsia" w:cstheme="minorEastAsia"/>
          <w:sz w:val="28"/>
          <w:szCs w:val="28"/>
          <w:lang w:val="en-US" w:eastAsia="zh-CN"/>
        </w:rPr>
        <w:t>6万元，农林水82.13万元，公路水路运输支出5万元</w:t>
      </w:r>
      <w:r>
        <w:rPr>
          <w:rFonts w:hint="eastAsia" w:asciiTheme="minorEastAsia" w:hAnsiTheme="minorEastAsia" w:eastAsiaTheme="minorEastAsia" w:cstheme="minorEastAsia"/>
          <w:sz w:val="28"/>
          <w:szCs w:val="28"/>
        </w:rPr>
        <w:t>）。</w:t>
      </w:r>
    </w:p>
    <w:p>
      <w:pPr>
        <w:numPr>
          <w:ilvl w:val="0"/>
          <w:numId w:val="4"/>
        </w:numPr>
        <w:ind w:left="0" w:leftChars="0"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“三公”经费情况</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napToGrid w:val="0"/>
          <w:color w:val="000000"/>
          <w:kern w:val="0"/>
          <w:sz w:val="28"/>
          <w:szCs w:val="28"/>
        </w:rPr>
        <w:t>1、</w:t>
      </w:r>
      <w:r>
        <w:rPr>
          <w:rFonts w:hint="eastAsia" w:asciiTheme="minorEastAsia" w:hAnsiTheme="minorEastAsia" w:eastAsiaTheme="minorEastAsia" w:cstheme="minorEastAsia"/>
          <w:sz w:val="28"/>
          <w:szCs w:val="28"/>
        </w:rPr>
        <w:t>因公出国（境）费用</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0元</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color w:val="000000"/>
          <w:sz w:val="28"/>
          <w:szCs w:val="28"/>
        </w:rPr>
        <w:t>2、</w:t>
      </w:r>
      <w:r>
        <w:rPr>
          <w:rFonts w:hint="eastAsia" w:asciiTheme="minorEastAsia" w:hAnsiTheme="minorEastAsia" w:eastAsiaTheme="minorEastAsia" w:cstheme="minorEastAsia"/>
          <w:sz w:val="28"/>
          <w:szCs w:val="28"/>
        </w:rPr>
        <w:t>公务接待费</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5.1万元</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napToGrid w:val="0"/>
          <w:color w:val="000000"/>
          <w:kern w:val="0"/>
          <w:sz w:val="28"/>
          <w:szCs w:val="28"/>
        </w:rPr>
        <w:t>3、</w:t>
      </w:r>
      <w:r>
        <w:rPr>
          <w:rFonts w:hint="eastAsia" w:asciiTheme="minorEastAsia" w:hAnsiTheme="minorEastAsia" w:eastAsiaTheme="minorEastAsia" w:cstheme="minorEastAsia"/>
          <w:sz w:val="28"/>
          <w:szCs w:val="28"/>
        </w:rPr>
        <w:t>公务用车购置及运行费</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3万元</w:t>
      </w:r>
    </w:p>
    <w:p>
      <w:pPr>
        <w:numPr>
          <w:ilvl w:val="0"/>
          <w:numId w:val="0"/>
        </w:numPr>
        <w:ind w:leftChars="200"/>
        <w:rPr>
          <w:rFonts w:hint="eastAsia" w:asciiTheme="minorEastAsia" w:hAnsiTheme="minorEastAsia" w:eastAsiaTheme="minorEastAsia" w:cstheme="minorEastAsia"/>
          <w:sz w:val="28"/>
          <w:szCs w:val="28"/>
        </w:rPr>
      </w:pPr>
    </w:p>
    <w:p>
      <w:pPr>
        <w:ind w:firstLine="562" w:firstLineChars="200"/>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三、部门整体支出绩效情况</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本年基本支出</w:t>
      </w:r>
      <w:r>
        <w:rPr>
          <w:rFonts w:hint="eastAsia" w:asciiTheme="minorEastAsia" w:hAnsiTheme="minorEastAsia" w:eastAsiaTheme="minorEastAsia" w:cstheme="minorEastAsia"/>
          <w:sz w:val="28"/>
          <w:szCs w:val="28"/>
          <w:lang w:val="en-US" w:eastAsia="zh-CN"/>
        </w:rPr>
        <w:t>1011.84</w:t>
      </w:r>
      <w:r>
        <w:rPr>
          <w:rFonts w:hint="eastAsia" w:asciiTheme="minorEastAsia" w:hAnsiTheme="minorEastAsia" w:eastAsiaTheme="minorEastAsia" w:cstheme="minorEastAsia"/>
          <w:sz w:val="28"/>
          <w:szCs w:val="28"/>
        </w:rPr>
        <w:t xml:space="preserve"> 万元。其中：人员经费</w:t>
      </w:r>
      <w:r>
        <w:rPr>
          <w:rFonts w:hint="eastAsia" w:asciiTheme="minorEastAsia" w:hAnsiTheme="minorEastAsia" w:eastAsiaTheme="minorEastAsia" w:cstheme="minorEastAsia"/>
          <w:sz w:val="28"/>
          <w:szCs w:val="28"/>
          <w:lang w:val="en-US" w:eastAsia="zh-CN"/>
        </w:rPr>
        <w:t>691.74</w:t>
      </w:r>
      <w:r>
        <w:rPr>
          <w:rFonts w:hint="eastAsia" w:asciiTheme="minorEastAsia" w:hAnsiTheme="minorEastAsia" w:eastAsiaTheme="minorEastAsia" w:cstheme="minorEastAsia"/>
          <w:sz w:val="28"/>
          <w:szCs w:val="28"/>
        </w:rPr>
        <w:t xml:space="preserve">万元，主要包括：基本工资、津贴补贴、奖金、绩效工资、其他工资福利支出、生活补助、住房公积金等；日常公用经费 </w:t>
      </w:r>
      <w:r>
        <w:rPr>
          <w:rFonts w:hint="eastAsia" w:asciiTheme="minorEastAsia" w:hAnsiTheme="minorEastAsia" w:eastAsiaTheme="minorEastAsia" w:cstheme="minorEastAsia"/>
          <w:sz w:val="28"/>
          <w:szCs w:val="28"/>
          <w:lang w:val="en-US" w:eastAsia="zh-CN"/>
        </w:rPr>
        <w:t>319.1</w:t>
      </w:r>
      <w:r>
        <w:rPr>
          <w:rFonts w:hint="eastAsia" w:asciiTheme="minorEastAsia" w:hAnsiTheme="minorEastAsia" w:eastAsiaTheme="minorEastAsia" w:cstheme="minorEastAsia"/>
          <w:sz w:val="28"/>
          <w:szCs w:val="28"/>
        </w:rPr>
        <w:t>万元，主要包括：办公费、印刷费、水费、电费、差旅费、会议费、培训费、公务接待费、劳务费、公务用车运行维护费、其他商品和服务支出等。</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eastAsia="zh-CN"/>
        </w:rPr>
        <w:t>本年</w:t>
      </w:r>
      <w:r>
        <w:rPr>
          <w:rFonts w:hint="eastAsia" w:asciiTheme="minorEastAsia" w:hAnsiTheme="minorEastAsia" w:eastAsiaTheme="minorEastAsia" w:cstheme="minorEastAsia"/>
          <w:sz w:val="28"/>
          <w:szCs w:val="28"/>
        </w:rPr>
        <w:t>项目支出</w:t>
      </w:r>
      <w:r>
        <w:rPr>
          <w:rFonts w:hint="eastAsia" w:asciiTheme="minorEastAsia" w:hAnsiTheme="minorEastAsia" w:eastAsiaTheme="minorEastAsia" w:cstheme="minorEastAsia"/>
          <w:sz w:val="28"/>
          <w:szCs w:val="28"/>
          <w:lang w:val="en-US" w:eastAsia="zh-CN"/>
        </w:rPr>
        <w:t>93.13万元。</w:t>
      </w:r>
      <w:r>
        <w:rPr>
          <w:rFonts w:hint="eastAsia" w:asciiTheme="minorEastAsia" w:hAnsiTheme="minorEastAsia" w:eastAsiaTheme="minorEastAsia" w:cstheme="minorEastAsia"/>
          <w:sz w:val="28"/>
          <w:szCs w:val="28"/>
        </w:rPr>
        <w:t>其中</w:t>
      </w:r>
      <w:r>
        <w:rPr>
          <w:rFonts w:hint="eastAsia" w:asciiTheme="minorEastAsia" w:hAnsiTheme="minorEastAsia" w:eastAsiaTheme="minorEastAsia" w:cstheme="minorEastAsia"/>
          <w:sz w:val="28"/>
          <w:szCs w:val="28"/>
          <w:lang w:eastAsia="zh-CN"/>
        </w:rPr>
        <w:t>协税护税工作经费</w:t>
      </w:r>
      <w:r>
        <w:rPr>
          <w:rFonts w:hint="eastAsia" w:asciiTheme="minorEastAsia" w:hAnsiTheme="minorEastAsia" w:eastAsiaTheme="minorEastAsia" w:cstheme="minorEastAsia"/>
          <w:sz w:val="28"/>
          <w:szCs w:val="28"/>
          <w:lang w:val="en-US" w:eastAsia="zh-CN"/>
        </w:rPr>
        <w:t>6万元，农林水82.13万元，公路水路运输支出5万元</w:t>
      </w:r>
      <w:r>
        <w:rPr>
          <w:rFonts w:hint="eastAsia" w:asciiTheme="minorEastAsia" w:hAnsiTheme="minorEastAsia" w:eastAsiaTheme="minorEastAsia" w:cstheme="minorEastAsia"/>
          <w:sz w:val="28"/>
          <w:szCs w:val="28"/>
        </w:rPr>
        <w:t>。</w:t>
      </w:r>
    </w:p>
    <w:p>
      <w:pPr>
        <w:numPr>
          <w:ilvl w:val="0"/>
          <w:numId w:val="5"/>
        </w:numPr>
        <w:ind w:firstLine="562" w:firstLineChars="200"/>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绩效自评得分情况及绩效等级。</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2018年，我单位积极履职，强化管理，较好的完成了年度工作目标。通过加强预算收支管理，不断建立健全内部管理制度，梳理内部管理流程，部门整体支出管理水平得到提升。根据部门整体支出绩效评价指标体系，我单位2018年度评价得分为95分,评价等级为“优”部门整体支出绩效自评得分情况如下：</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1、预算配置控制较好。在职人员控制率为132.83%，得0分；“三公经费”变动率为-9.67%，单位厉行节俭，三公经费减少，得5分。</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2、预算执行比较到位。预算完成率100%，得5分；预算控制率82.9%，得5分；无新建楼堂馆所。</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3、预算管理比较理想。</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（1）公用经费控制率为93.62%，得8分。</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（2）“三公经费”控制率为84.48%，得7分；</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（3）政府采购执行率达到100%，得6分。</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管理制度健全，得8分。我们严格预算管理，切实按照相关管理制度要求，修改完善了《财务管理规定》《资产管理规定》《公务接待管理规定》《内部审计制度》《差旅费、会议费、培训费管理规定》《公务车辆管理办法》《会计核算制度》《厉行节约规定》等工作制度，进一步明确了财政预算资金审批手续和拨付程序、机关行政经费审批手续和报销程序，加强了财务管理，规范了收支行为，保证了财务管理工作规范有序进行。</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资金使用合规，得6分。单位支出严格按照国家财经法规和财务管理制度规定执行，正确组织资金的筹集、调度和使用，费用开支有标准、有预算，债权债务及时结算、结清，所有支出均通过我单位财政支付方式办理，资金使用基本无截留、挤占、挪用、虚列支出等情况。</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（6）我镇按规定对预决算信息进行了公开，得5分。公开网址：http://www.lst.gov.cn/lstytz/zwgk/lstzwgkList.shtml，会计信息等资料完整、准确。</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4、职责履行，得8分。</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5、履职效益，得22分。</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（1）经济效益、社会效益得10分，我单位的各方面工作都得到社会大众的肯定和好评。</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（2）行政效能得6分，2018年促进部门改进文风会风，加强经费及资产管理，推动网上办事，提高行政效率，降低行政成本效果较好。</w:t>
      </w:r>
    </w:p>
    <w:p>
      <w:pPr>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（3）社会公众或服务对象满意度为满意，得6分。</w:t>
      </w:r>
    </w:p>
    <w:p>
      <w:pPr>
        <w:ind w:firstLine="560" w:firstLineChars="200"/>
        <w:rPr>
          <w:rFonts w:hint="eastAsia" w:asciiTheme="minorEastAsia" w:hAnsiTheme="minorEastAsia" w:eastAsiaTheme="minorEastAsia" w:cstheme="minorEastAsia"/>
          <w:sz w:val="28"/>
          <w:szCs w:val="28"/>
          <w:lang w:val="en-US" w:eastAsia="zh-CN"/>
        </w:rPr>
      </w:pPr>
    </w:p>
    <w:p>
      <w:pPr>
        <w:numPr>
          <w:ilvl w:val="0"/>
          <w:numId w:val="0"/>
        </w:numPr>
        <w:rPr>
          <w:rFonts w:hint="eastAsia" w:asciiTheme="minorEastAsia" w:hAnsiTheme="minorEastAsia" w:eastAsiaTheme="minorEastAsia" w:cstheme="minorEastAsia"/>
          <w:sz w:val="28"/>
          <w:szCs w:val="28"/>
        </w:rPr>
      </w:pPr>
    </w:p>
    <w:p>
      <w:pPr>
        <w:ind w:firstLine="560" w:firstLineChars="200"/>
        <w:rPr>
          <w:rFonts w:hint="eastAsia" w:asciiTheme="minorEastAsia" w:hAnsiTheme="minorEastAsia" w:eastAsiaTheme="minorEastAsia" w:cstheme="minorEastAsia"/>
          <w:sz w:val="28"/>
          <w:szCs w:val="28"/>
          <w:lang w:val="en-US" w:eastAsia="zh-CN"/>
        </w:rPr>
      </w:pPr>
    </w:p>
    <w:p>
      <w:pPr>
        <w:numPr>
          <w:ilvl w:val="0"/>
          <w:numId w:val="0"/>
        </w:numPr>
        <w:rPr>
          <w:rFonts w:hint="eastAsia" w:asciiTheme="minorEastAsia" w:hAnsiTheme="minorEastAsia" w:eastAsiaTheme="minorEastAsia" w:cstheme="minorEastAsia"/>
          <w:b/>
          <w:sz w:val="28"/>
          <w:szCs w:val="28"/>
        </w:rPr>
      </w:pPr>
    </w:p>
    <w:p>
      <w:pPr>
        <w:ind w:firstLine="562" w:firstLineChars="200"/>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五、存在的问题</w:t>
      </w:r>
    </w:p>
    <w:p>
      <w:pPr>
        <w:numPr>
          <w:ilvl w:val="0"/>
          <w:numId w:val="0"/>
        </w:numPr>
        <w:ind w:firstLine="840" w:firstLineChars="3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本年收入支出年初预算数为</w:t>
      </w:r>
      <w:r>
        <w:rPr>
          <w:rFonts w:hint="eastAsia" w:asciiTheme="minorEastAsia" w:hAnsiTheme="minorEastAsia" w:eastAsiaTheme="minorEastAsia" w:cstheme="minorEastAsia"/>
          <w:sz w:val="28"/>
          <w:szCs w:val="28"/>
          <w:lang w:val="en-US" w:eastAsia="zh-CN"/>
        </w:rPr>
        <w:t>886.297</w:t>
      </w:r>
      <w:r>
        <w:rPr>
          <w:rFonts w:hint="eastAsia" w:asciiTheme="minorEastAsia" w:hAnsiTheme="minorEastAsia" w:eastAsiaTheme="minorEastAsia" w:cstheme="minorEastAsia"/>
          <w:sz w:val="28"/>
          <w:szCs w:val="28"/>
        </w:rPr>
        <w:t>万元，调整预算数为</w:t>
      </w:r>
      <w:r>
        <w:rPr>
          <w:rFonts w:hint="eastAsia" w:asciiTheme="minorEastAsia" w:hAnsiTheme="minorEastAsia" w:eastAsiaTheme="minorEastAsia" w:cstheme="minorEastAsia"/>
          <w:sz w:val="28"/>
          <w:szCs w:val="28"/>
          <w:lang w:val="en-US" w:eastAsia="zh-CN"/>
        </w:rPr>
        <w:t>1104.97</w:t>
      </w:r>
      <w:r>
        <w:rPr>
          <w:rFonts w:hint="eastAsia" w:asciiTheme="minorEastAsia" w:hAnsiTheme="minorEastAsia" w:eastAsiaTheme="minorEastAsia" w:cstheme="minorEastAsia"/>
          <w:sz w:val="28"/>
          <w:szCs w:val="28"/>
        </w:rPr>
        <w:t>万元，年终决算数为</w:t>
      </w:r>
      <w:r>
        <w:rPr>
          <w:rFonts w:hint="eastAsia" w:asciiTheme="minorEastAsia" w:hAnsiTheme="minorEastAsia" w:eastAsiaTheme="minorEastAsia" w:cstheme="minorEastAsia"/>
          <w:sz w:val="28"/>
          <w:szCs w:val="28"/>
          <w:lang w:val="en-US" w:eastAsia="zh-CN"/>
        </w:rPr>
        <w:t>1104.97</w:t>
      </w:r>
      <w:r>
        <w:rPr>
          <w:rFonts w:hint="eastAsia" w:asciiTheme="minorEastAsia" w:hAnsiTheme="minorEastAsia" w:eastAsiaTheme="minorEastAsia" w:cstheme="minorEastAsia"/>
          <w:sz w:val="28"/>
          <w:szCs w:val="28"/>
        </w:rPr>
        <w:t>万元。</w:t>
      </w:r>
      <w:r>
        <w:rPr>
          <w:rFonts w:hint="eastAsia" w:asciiTheme="minorEastAsia" w:hAnsiTheme="minorEastAsia" w:eastAsiaTheme="minorEastAsia" w:cstheme="minorEastAsia"/>
          <w:bCs/>
          <w:sz w:val="28"/>
          <w:szCs w:val="28"/>
        </w:rPr>
        <w:t>预算执行过程中</w:t>
      </w:r>
      <w:r>
        <w:rPr>
          <w:rFonts w:hint="eastAsia" w:asciiTheme="minorEastAsia" w:hAnsiTheme="minorEastAsia" w:eastAsiaTheme="minorEastAsia" w:cstheme="minorEastAsia"/>
          <w:sz w:val="28"/>
          <w:szCs w:val="28"/>
        </w:rPr>
        <w:t>进行了预算调整，调增收入支出</w:t>
      </w:r>
      <w:r>
        <w:rPr>
          <w:rFonts w:hint="eastAsia" w:asciiTheme="minorEastAsia" w:hAnsiTheme="minorEastAsia" w:eastAsiaTheme="minorEastAsia" w:cstheme="minorEastAsia"/>
          <w:sz w:val="28"/>
          <w:szCs w:val="28"/>
          <w:lang w:val="en-US" w:eastAsia="zh-CN"/>
        </w:rPr>
        <w:t>218.673</w:t>
      </w:r>
      <w:r>
        <w:rPr>
          <w:rFonts w:hint="eastAsia" w:asciiTheme="minorEastAsia" w:hAnsiTheme="minorEastAsia" w:eastAsiaTheme="minorEastAsia" w:cstheme="minorEastAsia"/>
          <w:sz w:val="28"/>
          <w:szCs w:val="28"/>
        </w:rPr>
        <w:t>万元，原因是</w:t>
      </w:r>
      <w:r>
        <w:rPr>
          <w:rFonts w:hint="eastAsia" w:asciiTheme="minorEastAsia" w:hAnsiTheme="minorEastAsia" w:eastAsiaTheme="minorEastAsia" w:cstheme="minorEastAsia"/>
          <w:sz w:val="28"/>
          <w:szCs w:val="28"/>
          <w:lang w:eastAsia="zh-CN"/>
        </w:rPr>
        <w:t>工资福利支出中乡镇工作补贴、</w:t>
      </w:r>
      <w:r>
        <w:rPr>
          <w:rFonts w:hint="eastAsia" w:asciiTheme="minorEastAsia" w:hAnsiTheme="minorEastAsia" w:eastAsiaTheme="minorEastAsia" w:cstheme="minorEastAsia"/>
          <w:sz w:val="28"/>
          <w:szCs w:val="28"/>
        </w:rPr>
        <w:t>协税护税经费</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项目资金</w:t>
      </w:r>
      <w:r>
        <w:rPr>
          <w:rFonts w:hint="eastAsia" w:asciiTheme="minorEastAsia" w:hAnsiTheme="minorEastAsia" w:eastAsiaTheme="minorEastAsia" w:cstheme="minorEastAsia"/>
          <w:sz w:val="28"/>
          <w:szCs w:val="28"/>
          <w:lang w:eastAsia="zh-CN"/>
        </w:rPr>
        <w:t>等</w:t>
      </w:r>
      <w:r>
        <w:rPr>
          <w:rFonts w:hint="eastAsia" w:asciiTheme="minorEastAsia" w:hAnsiTheme="minorEastAsia" w:eastAsiaTheme="minorEastAsia" w:cstheme="minorEastAsia"/>
          <w:sz w:val="28"/>
          <w:szCs w:val="28"/>
        </w:rPr>
        <w:t>没有纳入年初预算。</w:t>
      </w:r>
    </w:p>
    <w:p>
      <w:pPr>
        <w:ind w:firstLine="562" w:firstLineChars="200"/>
        <w:rPr>
          <w:rFonts w:hint="eastAsia" w:asciiTheme="minorEastAsia" w:hAnsiTheme="minorEastAsia" w:eastAsiaTheme="minorEastAsia" w:cstheme="minorEastAsia"/>
          <w:b/>
          <w:sz w:val="28"/>
          <w:szCs w:val="28"/>
        </w:rPr>
      </w:pPr>
    </w:p>
    <w:p>
      <w:pPr>
        <w:ind w:firstLine="562"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六、改进措施和有关建议</w:t>
      </w:r>
    </w:p>
    <w:p>
      <w:pPr>
        <w:spacing w:line="560" w:lineRule="exact"/>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针对上述存在的问题及对外整体支出管理工作的需要，拟实施的改进措施如下：</w:t>
      </w:r>
    </w:p>
    <w:p>
      <w:pPr>
        <w:spacing w:line="560" w:lineRule="exact"/>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1、细化预算编制工作，认真做好预算的编制。进一步加强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pPr>
        <w:spacing w:line="560" w:lineRule="exact"/>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2、加强财务管理，严格财务审核。加强单位财务管理，健全单位财务管理制度体系，规范单位财务行为。在费用报账支付时，按照预算规定的费用项目和用途进行资金使用审核、列报支付、财务核算，杜绝超支现象的发生。</w:t>
      </w:r>
    </w:p>
    <w:p>
      <w:pPr>
        <w:spacing w:line="560" w:lineRule="exact"/>
        <w:ind w:firstLine="560" w:firstLineChars="2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3、完善资产管理，抓好“三公”经费控制。规范各类资产的购置审批制度、资、资产采购制度、使用管理制度、资产管理岗位职责制度等，加强单位内部的资产管理工作，严格控制“三公”经费的规模和比例。</w:t>
      </w:r>
    </w:p>
    <w:p>
      <w:pPr>
        <w:numPr>
          <w:ilvl w:val="0"/>
          <w:numId w:val="0"/>
        </w:numPr>
        <w:rPr>
          <w:rFonts w:hint="eastAsia" w:asciiTheme="minorEastAsia" w:hAnsiTheme="minorEastAsia" w:eastAsiaTheme="minorEastAsia" w:cstheme="minorEastAsia"/>
          <w:sz w:val="28"/>
          <w:szCs w:val="28"/>
          <w:shd w:val="clear" w:color="auto" w:fill="FFFFFF"/>
        </w:rPr>
      </w:pPr>
      <w:r>
        <w:rPr>
          <w:rFonts w:hint="eastAsia" w:asciiTheme="minorEastAsia" w:hAnsiTheme="minorEastAsia" w:eastAsiaTheme="minorEastAsia" w:cstheme="minorEastAsia"/>
          <w:color w:val="000000"/>
          <w:sz w:val="28"/>
          <w:szCs w:val="28"/>
        </w:rPr>
        <w:t>4、对相关人员加强培训，特别是针对《预算法》、《行政事业单位会计制度》等学习培训，规范部门预算收支核算，切实提高部门预算收支管理水平。</w:t>
      </w:r>
    </w:p>
    <w:p>
      <w:pPr>
        <w:numPr>
          <w:ilvl w:val="0"/>
          <w:numId w:val="0"/>
        </w:numPr>
        <w:rPr>
          <w:rFonts w:hint="eastAsia" w:ascii="仿宋_GB2312" w:eastAsia="仿宋_GB2312"/>
          <w:sz w:val="30"/>
          <w:szCs w:val="30"/>
          <w:shd w:val="clear" w:color="auto" w:fill="FFFFFF"/>
        </w:rPr>
      </w:pPr>
    </w:p>
    <w:p>
      <w:pPr>
        <w:numPr>
          <w:ilvl w:val="0"/>
          <w:numId w:val="0"/>
        </w:numPr>
        <w:rPr>
          <w:rFonts w:hint="eastAsia" w:ascii="仿宋_GB2312" w:eastAsia="仿宋_GB2312"/>
          <w:sz w:val="32"/>
          <w:szCs w:val="32"/>
          <w:shd w:val="clear" w:color="auto" w:fill="FFFFFF"/>
        </w:rPr>
      </w:pPr>
    </w:p>
    <w:p>
      <w:pPr>
        <w:widowControl/>
        <w:rPr>
          <w:rFonts w:hint="eastAsia" w:asciiTheme="minorEastAsia" w:hAnsiTheme="minorEastAsia" w:eastAsiaTheme="minorEastAsia" w:cstheme="minorEastAsia"/>
          <w:bCs/>
          <w:kern w:val="0"/>
          <w:sz w:val="32"/>
          <w:szCs w:val="32"/>
        </w:rPr>
      </w:pPr>
      <w:r>
        <w:rPr>
          <w:rFonts w:hint="eastAsia" w:asciiTheme="minorEastAsia" w:hAnsiTheme="minorEastAsia" w:eastAsiaTheme="minorEastAsia" w:cstheme="minorEastAsia"/>
          <w:bCs/>
          <w:kern w:val="0"/>
          <w:sz w:val="32"/>
          <w:szCs w:val="32"/>
        </w:rPr>
        <w:t>附件4</w:t>
      </w:r>
    </w:p>
    <w:p>
      <w:pPr>
        <w:spacing w:line="56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32"/>
          <w:szCs w:val="32"/>
          <w:lang w:eastAsia="zh-CN"/>
        </w:rPr>
        <w:t>伊塘镇</w:t>
      </w:r>
      <w:r>
        <w:rPr>
          <w:rFonts w:hint="eastAsia" w:asciiTheme="minorEastAsia" w:hAnsiTheme="minorEastAsia" w:eastAsiaTheme="minorEastAsia" w:cstheme="minorEastAsia"/>
          <w:kern w:val="0"/>
          <w:sz w:val="32"/>
          <w:szCs w:val="32"/>
        </w:rPr>
        <w:t>2018年度部门整体支出绩效评价表</w:t>
      </w:r>
    </w:p>
    <w:tbl>
      <w:tblPr>
        <w:tblStyle w:val="2"/>
        <w:tblW w:w="10600" w:type="dxa"/>
        <w:jc w:val="center"/>
        <w:tblInd w:w="0" w:type="dxa"/>
        <w:tblLayout w:type="fixed"/>
        <w:tblCellMar>
          <w:top w:w="0" w:type="dxa"/>
          <w:left w:w="108" w:type="dxa"/>
          <w:bottom w:w="0" w:type="dxa"/>
          <w:right w:w="108" w:type="dxa"/>
        </w:tblCellMar>
      </w:tblPr>
      <w:tblGrid>
        <w:gridCol w:w="518"/>
        <w:gridCol w:w="416"/>
        <w:gridCol w:w="677"/>
        <w:gridCol w:w="416"/>
        <w:gridCol w:w="1194"/>
        <w:gridCol w:w="478"/>
        <w:gridCol w:w="2977"/>
        <w:gridCol w:w="3402"/>
        <w:gridCol w:w="522"/>
      </w:tblGrid>
      <w:tr>
        <w:tblPrEx>
          <w:tblLayout w:type="fixed"/>
          <w:tblCellMar>
            <w:top w:w="0" w:type="dxa"/>
            <w:left w:w="108" w:type="dxa"/>
            <w:bottom w:w="0" w:type="dxa"/>
            <w:right w:w="108" w:type="dxa"/>
          </w:tblCellMar>
        </w:tblPrEx>
        <w:trPr>
          <w:trHeight w:val="1138" w:hRule="atLeast"/>
          <w:tblHeader/>
          <w:jc w:val="center"/>
        </w:trPr>
        <w:tc>
          <w:tcPr>
            <w:tcW w:w="518"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eastAsia="zh-CN"/>
              </w:rPr>
              <w:t>一</w:t>
            </w:r>
            <w:r>
              <w:rPr>
                <w:rFonts w:hint="eastAsia" w:asciiTheme="minorEastAsia" w:hAnsiTheme="minorEastAsia" w:eastAsiaTheme="minorEastAsia" w:cstheme="minorEastAsia"/>
                <w:kern w:val="0"/>
                <w:sz w:val="18"/>
                <w:szCs w:val="18"/>
              </w:rPr>
              <w:t>级指标</w:t>
            </w:r>
          </w:p>
        </w:tc>
        <w:tc>
          <w:tcPr>
            <w:tcW w:w="416" w:type="dxa"/>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分值</w:t>
            </w:r>
          </w:p>
        </w:tc>
        <w:tc>
          <w:tcPr>
            <w:tcW w:w="677" w:type="dxa"/>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二级指标</w:t>
            </w:r>
          </w:p>
        </w:tc>
        <w:tc>
          <w:tcPr>
            <w:tcW w:w="416" w:type="dxa"/>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分值</w:t>
            </w:r>
          </w:p>
        </w:tc>
        <w:tc>
          <w:tcPr>
            <w:tcW w:w="1194" w:type="dxa"/>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三级</w:t>
            </w:r>
          </w:p>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指标</w:t>
            </w:r>
          </w:p>
        </w:tc>
        <w:tc>
          <w:tcPr>
            <w:tcW w:w="478" w:type="dxa"/>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分值</w:t>
            </w:r>
          </w:p>
        </w:tc>
        <w:tc>
          <w:tcPr>
            <w:tcW w:w="2977" w:type="dxa"/>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评价标准</w:t>
            </w:r>
          </w:p>
        </w:tc>
        <w:tc>
          <w:tcPr>
            <w:tcW w:w="3402" w:type="dxa"/>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指标说明</w:t>
            </w:r>
          </w:p>
        </w:tc>
        <w:tc>
          <w:tcPr>
            <w:tcW w:w="522" w:type="dxa"/>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得分</w:t>
            </w:r>
          </w:p>
        </w:tc>
      </w:tr>
      <w:tr>
        <w:tblPrEx>
          <w:tblLayout w:type="fixed"/>
          <w:tblCellMar>
            <w:top w:w="0" w:type="dxa"/>
            <w:left w:w="108" w:type="dxa"/>
            <w:bottom w:w="0" w:type="dxa"/>
            <w:right w:w="108" w:type="dxa"/>
          </w:tblCellMar>
        </w:tblPrEx>
        <w:trPr>
          <w:trHeight w:val="1814" w:hRule="atLeast"/>
          <w:jc w:val="center"/>
        </w:trPr>
        <w:tc>
          <w:tcPr>
            <w:tcW w:w="518"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投入</w:t>
            </w:r>
          </w:p>
        </w:tc>
        <w:tc>
          <w:tcPr>
            <w:tcW w:w="416"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w:t>
            </w:r>
          </w:p>
        </w:tc>
        <w:tc>
          <w:tcPr>
            <w:tcW w:w="677" w:type="dxa"/>
            <w:vMerge w:val="restart"/>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预算配置</w:t>
            </w:r>
          </w:p>
        </w:tc>
        <w:tc>
          <w:tcPr>
            <w:tcW w:w="416"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w:t>
            </w: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在职人员控制率</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w:t>
            </w:r>
          </w:p>
        </w:tc>
        <w:tc>
          <w:tcPr>
            <w:tcW w:w="2977" w:type="dxa"/>
            <w:tcBorders>
              <w:top w:val="nil"/>
              <w:left w:val="nil"/>
              <w:bottom w:val="nil"/>
              <w:right w:val="nil"/>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以100%为标准。在职人员控制率≦100%，计5分；每超过一个百分点扣0.5分，扣完为止。</w:t>
            </w:r>
          </w:p>
        </w:tc>
        <w:tc>
          <w:tcPr>
            <w:tcW w:w="3402" w:type="dxa"/>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在职人员控制率=（在职人员数/编制数）×100%，在职人员数：部门（单位）实际在职人数，以市财政局确定的部门决算编制口径为准。</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编制数：机构编制部门核定批复的部门（单位）的人员编制数。</w:t>
            </w:r>
          </w:p>
        </w:tc>
        <w:tc>
          <w:tcPr>
            <w:tcW w:w="52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rPr>
              <w:t>　</w:t>
            </w:r>
            <w:r>
              <w:rPr>
                <w:rFonts w:hint="eastAsia" w:asciiTheme="minorEastAsia" w:hAnsiTheme="minorEastAsia" w:eastAsiaTheme="minorEastAsia" w:cstheme="minorEastAsia"/>
                <w:kern w:val="0"/>
                <w:sz w:val="18"/>
                <w:szCs w:val="18"/>
                <w:lang w:val="en-US" w:eastAsia="zh-CN"/>
              </w:rPr>
              <w:t>0</w:t>
            </w:r>
          </w:p>
        </w:tc>
      </w:tr>
      <w:tr>
        <w:tblPrEx>
          <w:tblLayout w:type="fixed"/>
          <w:tblCellMar>
            <w:top w:w="0" w:type="dxa"/>
            <w:left w:w="108" w:type="dxa"/>
            <w:bottom w:w="0" w:type="dxa"/>
            <w:right w:w="108" w:type="dxa"/>
          </w:tblCellMar>
        </w:tblPrEx>
        <w:trPr>
          <w:trHeight w:val="798"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77" w:type="dxa"/>
            <w:vMerge w:val="continue"/>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“三公经费”变动率</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w:t>
            </w:r>
          </w:p>
        </w:tc>
        <w:tc>
          <w:tcPr>
            <w:tcW w:w="2977"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“三公经费”变动率≦0,计8分；“三公经费”＞0，每超过一个百分点扣0.8分，扣完为止。</w:t>
            </w:r>
          </w:p>
        </w:tc>
        <w:tc>
          <w:tcPr>
            <w:tcW w:w="340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“三公经费”变动率=[（本年度“三公经费”预算数-上年度“三公经费”预算数）/上年度“三公经费”预算数]×100%</w:t>
            </w:r>
          </w:p>
        </w:tc>
        <w:tc>
          <w:tcPr>
            <w:tcW w:w="52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5</w:t>
            </w: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jc w:val="center"/>
        </w:trPr>
        <w:tc>
          <w:tcPr>
            <w:tcW w:w="518"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过                                                                                                                                       程</w:t>
            </w:r>
          </w:p>
        </w:tc>
        <w:tc>
          <w:tcPr>
            <w:tcW w:w="416"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60</w:t>
            </w:r>
          </w:p>
        </w:tc>
        <w:tc>
          <w:tcPr>
            <w:tcW w:w="677"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预算执行</w:t>
            </w:r>
          </w:p>
        </w:tc>
        <w:tc>
          <w:tcPr>
            <w:tcW w:w="416"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w:t>
            </w: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预算完成率</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w:t>
            </w:r>
          </w:p>
        </w:tc>
        <w:tc>
          <w:tcPr>
            <w:tcW w:w="2977"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100%计满分，每低于5%扣2分，扣完为止。</w:t>
            </w:r>
          </w:p>
        </w:tc>
        <w:tc>
          <w:tcPr>
            <w:tcW w:w="340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预算完成率=（上年结转+年初预算+本年追加预算-年末结余）/（上年结转+年初预算+本年追加预算）×100%。</w:t>
            </w:r>
          </w:p>
        </w:tc>
        <w:tc>
          <w:tcPr>
            <w:tcW w:w="52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rPr>
              <w:t>　</w:t>
            </w:r>
            <w:r>
              <w:rPr>
                <w:rFonts w:hint="eastAsia" w:asciiTheme="minorEastAsia" w:hAnsiTheme="minorEastAsia" w:eastAsiaTheme="minorEastAsia" w:cstheme="minorEastAsia"/>
                <w:kern w:val="0"/>
                <w:sz w:val="18"/>
                <w:szCs w:val="18"/>
                <w:lang w:val="en-US" w:eastAsia="zh-CN"/>
              </w:rPr>
              <w:t>5</w:t>
            </w:r>
          </w:p>
        </w:tc>
      </w:tr>
      <w:tr>
        <w:tblPrEx>
          <w:tblLayout w:type="fixed"/>
          <w:tblCellMar>
            <w:top w:w="0" w:type="dxa"/>
            <w:left w:w="108" w:type="dxa"/>
            <w:bottom w:w="0" w:type="dxa"/>
            <w:right w:w="108" w:type="dxa"/>
          </w:tblCellMar>
        </w:tblPrEx>
        <w:trPr>
          <w:trHeight w:val="12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77"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预算控制率</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w:t>
            </w:r>
          </w:p>
        </w:tc>
        <w:tc>
          <w:tcPr>
            <w:tcW w:w="2977"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预算控制率=0，计5分；0-10%（含），计4分；10-20%（含），计3分；20-30%（含），计2分；大于30%不得分。</w:t>
            </w:r>
          </w:p>
        </w:tc>
        <w:tc>
          <w:tcPr>
            <w:tcW w:w="340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预算控制率=（本年追加预算/年初预算）×100%。</w:t>
            </w:r>
          </w:p>
        </w:tc>
        <w:tc>
          <w:tcPr>
            <w:tcW w:w="52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rPr>
              <w:t>　</w:t>
            </w:r>
            <w:r>
              <w:rPr>
                <w:rFonts w:hint="eastAsia" w:asciiTheme="minorEastAsia" w:hAnsiTheme="minorEastAsia" w:eastAsiaTheme="minorEastAsia" w:cstheme="minorEastAsia"/>
                <w:kern w:val="0"/>
                <w:sz w:val="18"/>
                <w:szCs w:val="18"/>
                <w:lang w:val="en-US" w:eastAsia="zh-CN"/>
              </w:rPr>
              <w:t>5</w:t>
            </w:r>
          </w:p>
        </w:tc>
      </w:tr>
      <w:tr>
        <w:tblPrEx>
          <w:tblLayout w:type="fixed"/>
          <w:tblCellMar>
            <w:top w:w="0" w:type="dxa"/>
            <w:left w:w="108" w:type="dxa"/>
            <w:bottom w:w="0" w:type="dxa"/>
            <w:right w:w="108" w:type="dxa"/>
          </w:tblCellMar>
        </w:tblPrEx>
        <w:trPr>
          <w:trHeight w:val="132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77"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新建楼堂馆所面积控制率</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w:t>
            </w:r>
          </w:p>
        </w:tc>
        <w:tc>
          <w:tcPr>
            <w:tcW w:w="2977"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100%以下（含）计满分，每超出5%扣2分，扣完为止。没有楼堂馆所项目的部门按满分计算。</w:t>
            </w:r>
          </w:p>
        </w:tc>
        <w:tc>
          <w:tcPr>
            <w:tcW w:w="340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楼堂馆所面积控制率=实际建设面积/批准建设面积×100% 。</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该指标以2017年完工的新建楼堂馆所为评价内容。</w:t>
            </w:r>
          </w:p>
        </w:tc>
        <w:tc>
          <w:tcPr>
            <w:tcW w:w="52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5</w:t>
            </w: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1220"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77"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新建楼堂馆所投资概算控制率</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w:t>
            </w:r>
          </w:p>
        </w:tc>
        <w:tc>
          <w:tcPr>
            <w:tcW w:w="2977"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100%以下（含）计满分，每超出5%扣2分，扣完为止。</w:t>
            </w:r>
          </w:p>
        </w:tc>
        <w:tc>
          <w:tcPr>
            <w:tcW w:w="340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楼堂馆所投资预算控制率=实际投资金额/批准投资金额×100% 。</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该指标以2017年完工的新建楼堂馆所为评价内容。</w:t>
            </w:r>
          </w:p>
        </w:tc>
        <w:tc>
          <w:tcPr>
            <w:tcW w:w="52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5</w:t>
            </w: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1562"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77"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预算管理</w:t>
            </w:r>
          </w:p>
        </w:tc>
        <w:tc>
          <w:tcPr>
            <w:tcW w:w="416"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w:t>
            </w: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公用经费控制率</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w:t>
            </w:r>
          </w:p>
        </w:tc>
        <w:tc>
          <w:tcPr>
            <w:tcW w:w="2977"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100%以下（含）计满分，每超出1%扣1分，扣完为止。</w:t>
            </w:r>
          </w:p>
        </w:tc>
        <w:tc>
          <w:tcPr>
            <w:tcW w:w="340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公用经费控制率=（实际支出公用经费总额/预算安排公用经费总额）×100%。</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公用经费支出是指部门基本支出中的一般商品和服务支出。</w:t>
            </w:r>
          </w:p>
        </w:tc>
        <w:tc>
          <w:tcPr>
            <w:tcW w:w="522" w:type="dxa"/>
            <w:tcBorders>
              <w:top w:val="nil"/>
              <w:left w:val="nil"/>
              <w:bottom w:val="single" w:color="auto" w:sz="4" w:space="0"/>
              <w:right w:val="single" w:color="auto" w:sz="4" w:space="0"/>
            </w:tcBorders>
            <w:vAlign w:val="center"/>
          </w:tcPr>
          <w:p>
            <w:pPr>
              <w:widowControl/>
              <w:jc w:val="left"/>
              <w:rPr>
                <w:rFonts w:hint="default"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lang w:val="en-US" w:eastAsia="zh-CN"/>
              </w:rPr>
              <w:t xml:space="preserve"> 8</w:t>
            </w:r>
          </w:p>
        </w:tc>
      </w:tr>
      <w:tr>
        <w:tblPrEx>
          <w:tblLayout w:type="fixed"/>
          <w:tblCellMar>
            <w:top w:w="0" w:type="dxa"/>
            <w:left w:w="108" w:type="dxa"/>
            <w:bottom w:w="0" w:type="dxa"/>
            <w:right w:w="108" w:type="dxa"/>
          </w:tblCellMar>
        </w:tblPrEx>
        <w:trPr>
          <w:trHeight w:val="10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77"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“三公经费”控制率</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w:t>
            </w:r>
          </w:p>
        </w:tc>
        <w:tc>
          <w:tcPr>
            <w:tcW w:w="2977"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100%以下（含）计满分，每超出1%扣1分，扣完为止。</w:t>
            </w:r>
          </w:p>
        </w:tc>
        <w:tc>
          <w:tcPr>
            <w:tcW w:w="340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“三公经费”控制率-（“三公经费”实际支出数/“三公经费”预算安排数）×100%。</w:t>
            </w:r>
          </w:p>
        </w:tc>
        <w:tc>
          <w:tcPr>
            <w:tcW w:w="52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rPr>
              <w:t>　</w:t>
            </w:r>
            <w:r>
              <w:rPr>
                <w:rFonts w:hint="eastAsia" w:asciiTheme="minorEastAsia" w:hAnsiTheme="minorEastAsia" w:eastAsiaTheme="minorEastAsia" w:cstheme="minorEastAsia"/>
                <w:kern w:val="0"/>
                <w:sz w:val="18"/>
                <w:szCs w:val="18"/>
                <w:lang w:val="en-US" w:eastAsia="zh-CN"/>
              </w:rPr>
              <w:t>7</w:t>
            </w:r>
          </w:p>
        </w:tc>
      </w:tr>
      <w:tr>
        <w:tblPrEx>
          <w:tblLayout w:type="fixed"/>
          <w:tblCellMar>
            <w:top w:w="0" w:type="dxa"/>
            <w:left w:w="108" w:type="dxa"/>
            <w:bottom w:w="0" w:type="dxa"/>
            <w:right w:w="108" w:type="dxa"/>
          </w:tblCellMar>
        </w:tblPrEx>
        <w:trPr>
          <w:trHeight w:val="780"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77"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政府采购执行率</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w:t>
            </w:r>
          </w:p>
        </w:tc>
        <w:tc>
          <w:tcPr>
            <w:tcW w:w="2977"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100%计满分，每超过（降低）5%扣2分。扣完为止。</w:t>
            </w:r>
          </w:p>
        </w:tc>
        <w:tc>
          <w:tcPr>
            <w:tcW w:w="340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政府采购执行率=（实际政府采购金额/政府采购预算数）×100%</w:t>
            </w:r>
          </w:p>
        </w:tc>
        <w:tc>
          <w:tcPr>
            <w:tcW w:w="52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rPr>
              <w:t>　</w:t>
            </w:r>
            <w:r>
              <w:rPr>
                <w:rFonts w:hint="eastAsia" w:asciiTheme="minorEastAsia" w:hAnsiTheme="minorEastAsia" w:eastAsiaTheme="minorEastAsia" w:cstheme="minorEastAsia"/>
                <w:kern w:val="0"/>
                <w:sz w:val="18"/>
                <w:szCs w:val="18"/>
                <w:lang w:val="en-US" w:eastAsia="zh-CN"/>
              </w:rPr>
              <w:t>6</w:t>
            </w:r>
          </w:p>
        </w:tc>
      </w:tr>
      <w:tr>
        <w:tblPrEx>
          <w:tblLayout w:type="fixed"/>
          <w:tblCellMar>
            <w:top w:w="0" w:type="dxa"/>
            <w:left w:w="108" w:type="dxa"/>
            <w:bottom w:w="0" w:type="dxa"/>
            <w:right w:w="108" w:type="dxa"/>
          </w:tblCellMar>
        </w:tblPrEx>
        <w:trPr>
          <w:jc w:val="center"/>
        </w:trPr>
        <w:tc>
          <w:tcPr>
            <w:tcW w:w="518" w:type="dxa"/>
            <w:vMerge w:val="restart"/>
            <w:tcBorders>
              <w:top w:val="single" w:color="auto" w:sz="4" w:space="0"/>
              <w:left w:val="single" w:color="auto" w:sz="4" w:space="0"/>
              <w:bottom w:val="single" w:color="000000" w:sz="4" w:space="0"/>
              <w:right w:val="single" w:color="auto" w:sz="4" w:space="0"/>
            </w:tcBorders>
            <w:vAlign w:val="center"/>
          </w:tcPr>
          <w:p>
            <w:pPr>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过                                                                                                                                       程</w:t>
            </w:r>
          </w:p>
        </w:tc>
        <w:tc>
          <w:tcPr>
            <w:tcW w:w="416" w:type="dxa"/>
            <w:vMerge w:val="restart"/>
            <w:tcBorders>
              <w:top w:val="single" w:color="auto" w:sz="4" w:space="0"/>
              <w:left w:val="single" w:color="auto" w:sz="4" w:space="0"/>
              <w:bottom w:val="single" w:color="000000" w:sz="4" w:space="0"/>
              <w:right w:val="single" w:color="auto" w:sz="4" w:space="0"/>
            </w:tcBorders>
            <w:vAlign w:val="center"/>
          </w:tcPr>
          <w:p>
            <w:pPr>
              <w:jc w:val="left"/>
              <w:rPr>
                <w:rFonts w:hint="eastAsia" w:asciiTheme="minorEastAsia" w:hAnsiTheme="minorEastAsia" w:eastAsiaTheme="minorEastAsia" w:cstheme="minorEastAsia"/>
                <w:kern w:val="0"/>
                <w:sz w:val="18"/>
                <w:szCs w:val="18"/>
              </w:rPr>
            </w:pPr>
          </w:p>
        </w:tc>
        <w:tc>
          <w:tcPr>
            <w:tcW w:w="677" w:type="dxa"/>
            <w:vMerge w:val="restart"/>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预算管理</w:t>
            </w: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管理制度健全性</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w:t>
            </w:r>
          </w:p>
        </w:tc>
        <w:tc>
          <w:tcPr>
            <w:tcW w:w="2977"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①有内部财务管理制度、会计核算制度等管理制度，2分；</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②有本部门厉行节约制度,2分；</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③相关管理制度合法、合规、完整，2分；④相关管理制度得到有效执行，2分。</w:t>
            </w:r>
          </w:p>
        </w:tc>
        <w:tc>
          <w:tcPr>
            <w:tcW w:w="340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52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rPr>
              <w:t>　</w:t>
            </w:r>
            <w:r>
              <w:rPr>
                <w:rFonts w:hint="eastAsia" w:asciiTheme="minorEastAsia" w:hAnsiTheme="minorEastAsia" w:eastAsiaTheme="minorEastAsia" w:cstheme="minorEastAsia"/>
                <w:kern w:val="0"/>
                <w:sz w:val="18"/>
                <w:szCs w:val="18"/>
                <w:lang w:val="en-US" w:eastAsia="zh-CN"/>
              </w:rPr>
              <w:t>8</w:t>
            </w:r>
          </w:p>
        </w:tc>
      </w:tr>
      <w:tr>
        <w:tblPrEx>
          <w:tblLayout w:type="fixed"/>
          <w:tblCellMar>
            <w:top w:w="0" w:type="dxa"/>
            <w:left w:w="108" w:type="dxa"/>
            <w:bottom w:w="0" w:type="dxa"/>
            <w:right w:w="108" w:type="dxa"/>
          </w:tblCellMar>
        </w:tblPrEx>
        <w:trPr>
          <w:trHeight w:val="303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77" w:type="dxa"/>
            <w:vMerge w:val="continue"/>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资金使用合规性</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w:t>
            </w:r>
          </w:p>
        </w:tc>
        <w:tc>
          <w:tcPr>
            <w:tcW w:w="2977"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以上情况每出现一例不符合要求的扣1分，扣完为止。</w:t>
            </w:r>
          </w:p>
        </w:tc>
        <w:tc>
          <w:tcPr>
            <w:tcW w:w="340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52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rPr>
              <w:t>　</w:t>
            </w:r>
            <w:r>
              <w:rPr>
                <w:rFonts w:hint="eastAsia" w:asciiTheme="minorEastAsia" w:hAnsiTheme="minorEastAsia" w:eastAsiaTheme="minorEastAsia" w:cstheme="minorEastAsia"/>
                <w:kern w:val="0"/>
                <w:sz w:val="18"/>
                <w:szCs w:val="18"/>
                <w:lang w:val="en-US" w:eastAsia="zh-CN"/>
              </w:rPr>
              <w:t>6</w:t>
            </w:r>
          </w:p>
        </w:tc>
      </w:tr>
      <w:tr>
        <w:tblPrEx>
          <w:tblLayout w:type="fixed"/>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77" w:type="dxa"/>
            <w:vMerge w:val="continue"/>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预决算信息公开性</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w:t>
            </w:r>
          </w:p>
        </w:tc>
        <w:tc>
          <w:tcPr>
            <w:tcW w:w="2977"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①按规定内容公开预决算信息，1分；②按规定时限公开预决算信息，1分；③基础数据信息和会计信息资料真实，1分；④基础数据信息和会计信息资料完整，1分；⑤基础数据信息和汇集信息资料准确，1分。  </w:t>
            </w:r>
          </w:p>
        </w:tc>
        <w:tc>
          <w:tcPr>
            <w:tcW w:w="340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预决算信息是指与部门预算、执行、决算、监督、绩效等管理相关的信息。</w:t>
            </w:r>
          </w:p>
        </w:tc>
        <w:tc>
          <w:tcPr>
            <w:tcW w:w="52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rPr>
              <w:t>　</w:t>
            </w:r>
            <w:r>
              <w:rPr>
                <w:rFonts w:hint="eastAsia" w:asciiTheme="minorEastAsia" w:hAnsiTheme="minorEastAsia" w:eastAsiaTheme="minorEastAsia" w:cstheme="minorEastAsia"/>
                <w:kern w:val="0"/>
                <w:sz w:val="18"/>
                <w:szCs w:val="18"/>
                <w:lang w:val="en-US" w:eastAsia="zh-CN"/>
              </w:rPr>
              <w:t>5</w:t>
            </w:r>
          </w:p>
        </w:tc>
      </w:tr>
      <w:tr>
        <w:tblPrEx>
          <w:tblLayout w:type="fixed"/>
          <w:tblCellMar>
            <w:top w:w="0" w:type="dxa"/>
            <w:left w:w="108" w:type="dxa"/>
            <w:bottom w:w="0" w:type="dxa"/>
            <w:right w:w="108" w:type="dxa"/>
          </w:tblCellMar>
        </w:tblPrEx>
        <w:trPr>
          <w:jc w:val="center"/>
        </w:trPr>
        <w:tc>
          <w:tcPr>
            <w:tcW w:w="518"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产出及效率</w:t>
            </w:r>
          </w:p>
        </w:tc>
        <w:tc>
          <w:tcPr>
            <w:tcW w:w="416"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w:t>
            </w:r>
          </w:p>
        </w:tc>
        <w:tc>
          <w:tcPr>
            <w:tcW w:w="677"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职责履行</w:t>
            </w:r>
          </w:p>
        </w:tc>
        <w:tc>
          <w:tcPr>
            <w:tcW w:w="416"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w:t>
            </w:r>
          </w:p>
        </w:tc>
        <w:tc>
          <w:tcPr>
            <w:tcW w:w="1194" w:type="dxa"/>
            <w:tcBorders>
              <w:top w:val="nil"/>
              <w:left w:val="nil"/>
              <w:bottom w:val="nil"/>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重点工作实际完成率</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w:t>
            </w:r>
          </w:p>
        </w:tc>
        <w:tc>
          <w:tcPr>
            <w:tcW w:w="2977"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根据绩效办2017年对各部门为民办实事和部门重点工程与重点工作考核分数折算。</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该项得分=（绩效办对应部分考核得分/350）*8</w:t>
            </w:r>
          </w:p>
        </w:tc>
        <w:tc>
          <w:tcPr>
            <w:tcW w:w="340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52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rPr>
              <w:t>　</w:t>
            </w:r>
            <w:r>
              <w:rPr>
                <w:rFonts w:hint="eastAsia" w:asciiTheme="minorEastAsia" w:hAnsiTheme="minorEastAsia" w:eastAsiaTheme="minorEastAsia" w:cstheme="minorEastAsia"/>
                <w:kern w:val="0"/>
                <w:sz w:val="18"/>
                <w:szCs w:val="18"/>
                <w:lang w:val="en-US" w:eastAsia="zh-CN"/>
              </w:rPr>
              <w:t>8</w:t>
            </w:r>
          </w:p>
        </w:tc>
      </w:tr>
      <w:tr>
        <w:tblPrEx>
          <w:tblLayout w:type="fixed"/>
          <w:tblCellMar>
            <w:top w:w="0" w:type="dxa"/>
            <w:left w:w="108" w:type="dxa"/>
            <w:bottom w:w="0" w:type="dxa"/>
            <w:right w:w="108" w:type="dxa"/>
          </w:tblCellMar>
        </w:tblPrEx>
        <w:trPr>
          <w:trHeight w:val="44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77"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履职 效益</w:t>
            </w:r>
          </w:p>
        </w:tc>
        <w:tc>
          <w:tcPr>
            <w:tcW w:w="416"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w:t>
            </w:r>
          </w:p>
        </w:tc>
        <w:tc>
          <w:tcPr>
            <w:tcW w:w="1194" w:type="dxa"/>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经济效益</w:t>
            </w:r>
          </w:p>
        </w:tc>
        <w:tc>
          <w:tcPr>
            <w:tcW w:w="478" w:type="dxa"/>
            <w:vMerge w:val="restart"/>
            <w:tcBorders>
              <w:top w:val="nil"/>
              <w:left w:val="single" w:color="auto" w:sz="4" w:space="0"/>
              <w:bottom w:val="nil"/>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w:t>
            </w:r>
          </w:p>
        </w:tc>
        <w:tc>
          <w:tcPr>
            <w:tcW w:w="6379" w:type="dxa"/>
            <w:gridSpan w:val="2"/>
            <w:vMerge w:val="restart"/>
            <w:tcBorders>
              <w:top w:val="single" w:color="auto" w:sz="4" w:space="0"/>
              <w:left w:val="single" w:color="auto" w:sz="4" w:space="0"/>
              <w:bottom w:val="nil"/>
              <w:right w:val="single" w:color="000000"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10</w:t>
            </w: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238"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77"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119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社会效益</w:t>
            </w:r>
          </w:p>
        </w:tc>
        <w:tc>
          <w:tcPr>
            <w:tcW w:w="478" w:type="dxa"/>
            <w:vMerge w:val="continue"/>
            <w:tcBorders>
              <w:top w:val="nil"/>
              <w:left w:val="single" w:color="auto" w:sz="4" w:space="0"/>
              <w:bottom w:val="nil"/>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379" w:type="dxa"/>
            <w:gridSpan w:val="2"/>
            <w:vMerge w:val="continue"/>
            <w:tcBorders>
              <w:top w:val="single" w:color="auto" w:sz="4" w:space="0"/>
              <w:left w:val="single" w:color="auto" w:sz="4" w:space="0"/>
              <w:bottom w:val="nil"/>
              <w:right w:val="single" w:color="000000"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522" w:type="dxa"/>
            <w:tcBorders>
              <w:top w:val="nil"/>
              <w:left w:val="nil"/>
              <w:bottom w:val="nil"/>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1421"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77"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w:t>
            </w: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行政效能</w:t>
            </w:r>
          </w:p>
        </w:tc>
        <w:tc>
          <w:tcPr>
            <w:tcW w:w="478" w:type="dxa"/>
            <w:tcBorders>
              <w:top w:val="single" w:color="auto" w:sz="4" w:space="0"/>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w:t>
            </w:r>
          </w:p>
        </w:tc>
        <w:tc>
          <w:tcPr>
            <w:tcW w:w="2977"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促进部门改进文风会风，加强经费及资产管理，推动网上办事，提高行政效率，降低行政成本效果较好的计6分；一般3分；无效果或者效果不明显0分。</w:t>
            </w:r>
          </w:p>
        </w:tc>
        <w:tc>
          <w:tcPr>
            <w:tcW w:w="3402"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根据部门自评材料评定。</w:t>
            </w:r>
          </w:p>
        </w:tc>
        <w:tc>
          <w:tcPr>
            <w:tcW w:w="522" w:type="dxa"/>
            <w:tcBorders>
              <w:top w:val="single" w:color="auto" w:sz="4" w:space="0"/>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6</w:t>
            </w: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6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p>
        </w:tc>
        <w:tc>
          <w:tcPr>
            <w:tcW w:w="1194"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社会公众或服务对象满意度</w:t>
            </w:r>
          </w:p>
        </w:tc>
        <w:tc>
          <w:tcPr>
            <w:tcW w:w="478"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w:t>
            </w:r>
          </w:p>
        </w:tc>
        <w:tc>
          <w:tcPr>
            <w:tcW w:w="2977"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90%（含）以上计6分；</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80%（含）-90%，计4分；</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70%（含）-80%，计2分；</w:t>
            </w:r>
            <w:r>
              <w:rPr>
                <w:rFonts w:hint="eastAsia" w:asciiTheme="minorEastAsia" w:hAnsiTheme="minorEastAsia" w:eastAsiaTheme="minorEastAsia" w:cstheme="minorEastAsia"/>
                <w:kern w:val="0"/>
                <w:sz w:val="18"/>
                <w:szCs w:val="18"/>
              </w:rPr>
              <w:br w:type="textWrapping"/>
            </w:r>
            <w:r>
              <w:rPr>
                <w:rFonts w:hint="eastAsia" w:asciiTheme="minorEastAsia" w:hAnsiTheme="minorEastAsia" w:eastAsiaTheme="minorEastAsia" w:cstheme="minorEastAsia"/>
                <w:kern w:val="0"/>
                <w:sz w:val="18"/>
                <w:szCs w:val="18"/>
              </w:rPr>
              <w:t>低于70%计0分。</w:t>
            </w:r>
          </w:p>
        </w:tc>
        <w:tc>
          <w:tcPr>
            <w:tcW w:w="340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社会公众或服务对象是指部门（单位）履行职责而影响到的部门、群体或个人，一般采取社会调查的方式。</w:t>
            </w:r>
          </w:p>
        </w:tc>
        <w:tc>
          <w:tcPr>
            <w:tcW w:w="522"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rPr>
              <w:t>　</w:t>
            </w:r>
            <w:r>
              <w:rPr>
                <w:rFonts w:hint="eastAsia" w:asciiTheme="minorEastAsia" w:hAnsiTheme="minorEastAsia" w:eastAsiaTheme="minorEastAsia" w:cstheme="minorEastAsia"/>
                <w:kern w:val="0"/>
                <w:sz w:val="18"/>
                <w:szCs w:val="18"/>
                <w:lang w:val="en-US" w:eastAsia="zh-CN"/>
              </w:rPr>
              <w:t>6</w:t>
            </w:r>
          </w:p>
        </w:tc>
      </w:tr>
      <w:tr>
        <w:tblPrEx>
          <w:tblLayout w:type="fixed"/>
          <w:tblCellMar>
            <w:top w:w="0" w:type="dxa"/>
            <w:left w:w="108" w:type="dxa"/>
            <w:bottom w:w="0" w:type="dxa"/>
            <w:right w:w="108" w:type="dxa"/>
          </w:tblCellMar>
        </w:tblPrEx>
        <w:trPr>
          <w:trHeight w:val="575" w:hRule="atLeast"/>
          <w:jc w:val="center"/>
        </w:trPr>
        <w:tc>
          <w:tcPr>
            <w:tcW w:w="10078"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Theme="minorEastAsia" w:hAnsiTheme="minorEastAsia" w:eastAsiaTheme="minorEastAsia" w:cstheme="minorEastAsia"/>
                <w:kern w:val="0"/>
                <w:sz w:val="18"/>
                <w:szCs w:val="18"/>
                <w:lang w:eastAsia="zh-CN"/>
              </w:rPr>
            </w:pPr>
            <w:r>
              <w:rPr>
                <w:rFonts w:hint="eastAsia" w:asciiTheme="minorEastAsia" w:hAnsiTheme="minorEastAsia" w:eastAsiaTheme="minorEastAsia" w:cstheme="minorEastAsia"/>
                <w:kern w:val="0"/>
                <w:sz w:val="18"/>
                <w:szCs w:val="18"/>
                <w:lang w:eastAsia="zh-CN"/>
              </w:rPr>
              <w:t>合计得分</w:t>
            </w:r>
          </w:p>
        </w:tc>
        <w:tc>
          <w:tcPr>
            <w:tcW w:w="522"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lang w:val="en-US" w:eastAsia="zh-CN"/>
              </w:rPr>
              <w:t>95</w:t>
            </w:r>
          </w:p>
        </w:tc>
      </w:tr>
    </w:tbl>
    <w:p>
      <w:pPr>
        <w:numPr>
          <w:ilvl w:val="0"/>
          <w:numId w:val="0"/>
        </w:numPr>
        <w:rPr>
          <w:rFonts w:hint="eastAsia" w:asciiTheme="minorEastAsia" w:hAnsiTheme="minorEastAsia" w:eastAsiaTheme="minorEastAsia" w:cstheme="minorEastAsia"/>
          <w:sz w:val="18"/>
          <w:szCs w:val="18"/>
          <w:shd w:val="clear" w:color="auto" w:fill="FFFFFF"/>
        </w:rPr>
      </w:pPr>
    </w:p>
    <w:p>
      <w:pPr>
        <w:rPr>
          <w:rFonts w:hint="eastAsia" w:asciiTheme="minorEastAsia" w:hAnsiTheme="minorEastAsia" w:eastAsiaTheme="minorEastAsia" w:cstheme="minorEastAsia"/>
          <w:sz w:val="18"/>
          <w:szCs w:val="18"/>
        </w:rPr>
      </w:pPr>
    </w:p>
    <w:p>
      <w:pPr>
        <w:rPr>
          <w:rFonts w:hint="eastAsia" w:asciiTheme="minorEastAsia" w:hAnsiTheme="minorEastAsia" w:eastAsiaTheme="minorEastAsia" w:cstheme="minorEastAsia"/>
          <w:sz w:val="18"/>
          <w:szCs w:val="18"/>
        </w:rPr>
      </w:pPr>
    </w:p>
    <w:p>
      <w:pPr>
        <w:rPr>
          <w:rFonts w:hint="eastAsia" w:asciiTheme="minorEastAsia" w:hAnsiTheme="minorEastAsia" w:eastAsiaTheme="minorEastAsia" w:cstheme="minorEastAsia"/>
          <w:sz w:val="18"/>
          <w:szCs w:val="18"/>
        </w:rPr>
      </w:pPr>
    </w:p>
    <w:p>
      <w:pPr>
        <w:rPr>
          <w:rFonts w:hint="eastAsia" w:asciiTheme="minorEastAsia" w:hAnsiTheme="minorEastAsia" w:eastAsiaTheme="minorEastAsia" w:cstheme="minorEastAsia"/>
          <w:sz w:val="18"/>
          <w:szCs w:val="18"/>
        </w:rPr>
      </w:pPr>
    </w:p>
    <w:p>
      <w:pPr>
        <w:rPr>
          <w:rFonts w:hint="eastAsia" w:asciiTheme="minorEastAsia" w:hAnsiTheme="minorEastAsia" w:eastAsiaTheme="minorEastAsia" w:cstheme="minorEastAsia"/>
          <w:sz w:val="18"/>
          <w:szCs w:val="18"/>
        </w:rPr>
      </w:pPr>
    </w:p>
    <w:p>
      <w:pPr>
        <w:rPr>
          <w:rFonts w:hint="eastAsia" w:asciiTheme="minorEastAsia" w:hAnsiTheme="minorEastAsia" w:eastAsiaTheme="minorEastAsia" w:cstheme="minorEastAsia"/>
          <w:sz w:val="18"/>
          <w:szCs w:val="18"/>
        </w:rPr>
      </w:pPr>
    </w:p>
    <w:p>
      <w:pPr>
        <w:spacing w:line="600" w:lineRule="exac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附件5：</w:t>
      </w:r>
    </w:p>
    <w:p>
      <w:pPr>
        <w:widowControl/>
        <w:ind w:left="91"/>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32"/>
          <w:szCs w:val="32"/>
          <w:lang w:eastAsia="zh-CN"/>
        </w:rPr>
        <w:t>高溪市镇</w:t>
      </w:r>
      <w:r>
        <w:rPr>
          <w:rFonts w:hint="eastAsia" w:asciiTheme="minorEastAsia" w:hAnsiTheme="minorEastAsia" w:eastAsiaTheme="minorEastAsia" w:cstheme="minorEastAsia"/>
          <w:kern w:val="0"/>
          <w:sz w:val="32"/>
          <w:szCs w:val="32"/>
        </w:rPr>
        <w:t>2018年度部门整体支出绩效评价基础数据表</w:t>
      </w:r>
    </w:p>
    <w:p>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spacing w:line="240" w:lineRule="exact"/>
        <w:ind w:left="91" w:leftChars="0" w:right="0" w:rightChars="0" w:firstLine="0" w:firstLineChars="0"/>
        <w:jc w:val="left"/>
        <w:textAlignment w:val="auto"/>
        <w:outlineLvl w:val="9"/>
        <w:rPr>
          <w:rFonts w:hint="eastAsia" w:asciiTheme="minorEastAsia" w:hAnsiTheme="minorEastAsia" w:eastAsiaTheme="minorEastAsia" w:cstheme="minorEastAsia"/>
          <w:kern w:val="0"/>
          <w:sz w:val="18"/>
          <w:szCs w:val="18"/>
          <w:vertAlign w:val="subscript"/>
        </w:rPr>
      </w:pPr>
    </w:p>
    <w:p>
      <w:pPr>
        <w:widowControl/>
        <w:tabs>
          <w:tab w:val="left" w:pos="3611"/>
          <w:tab w:val="left" w:pos="4791"/>
          <w:tab w:val="left" w:pos="5951"/>
          <w:tab w:val="left" w:pos="7071"/>
          <w:tab w:val="left" w:pos="8191"/>
          <w:tab w:val="left" w:pos="9311"/>
        </w:tabs>
        <w:ind w:left="91"/>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28"/>
          <w:szCs w:val="28"/>
        </w:rPr>
        <w:t>填报单位：</w:t>
      </w:r>
      <w:r>
        <w:rPr>
          <w:rFonts w:hint="eastAsia" w:asciiTheme="minorEastAsia" w:hAnsiTheme="minorEastAsia" w:eastAsiaTheme="minorEastAsia" w:cstheme="minorEastAsia"/>
          <w:kern w:val="0"/>
          <w:sz w:val="18"/>
          <w:szCs w:val="18"/>
        </w:rPr>
        <w:tab/>
      </w:r>
      <w:r>
        <w:rPr>
          <w:rFonts w:hint="eastAsia" w:asciiTheme="minorEastAsia" w:hAnsiTheme="minorEastAsia" w:eastAsiaTheme="minorEastAsia" w:cstheme="minorEastAsia"/>
          <w:kern w:val="0"/>
          <w:sz w:val="18"/>
          <w:szCs w:val="18"/>
        </w:rPr>
        <w:tab/>
      </w:r>
      <w:r>
        <w:rPr>
          <w:rFonts w:hint="eastAsia" w:asciiTheme="minorEastAsia" w:hAnsiTheme="minorEastAsia" w:eastAsiaTheme="minorEastAsia" w:cstheme="minorEastAsia"/>
          <w:kern w:val="0"/>
          <w:sz w:val="18"/>
          <w:szCs w:val="18"/>
        </w:rPr>
        <w:tab/>
      </w:r>
      <w:r>
        <w:rPr>
          <w:rFonts w:hint="eastAsia" w:asciiTheme="minorEastAsia" w:hAnsiTheme="minorEastAsia" w:eastAsiaTheme="minorEastAsia" w:cstheme="minorEastAsia"/>
          <w:kern w:val="0"/>
          <w:sz w:val="18"/>
          <w:szCs w:val="18"/>
        </w:rPr>
        <w:tab/>
      </w:r>
      <w:r>
        <w:rPr>
          <w:rFonts w:hint="eastAsia" w:asciiTheme="minorEastAsia" w:hAnsiTheme="minorEastAsia" w:eastAsiaTheme="minorEastAsia" w:cstheme="minorEastAsia"/>
          <w:kern w:val="0"/>
          <w:sz w:val="18"/>
          <w:szCs w:val="18"/>
        </w:rPr>
        <w:tab/>
      </w:r>
      <w:r>
        <w:rPr>
          <w:rFonts w:hint="eastAsia" w:asciiTheme="minorEastAsia" w:hAnsiTheme="minorEastAsia" w:eastAsiaTheme="minorEastAsia" w:cstheme="minorEastAsia"/>
          <w:kern w:val="0"/>
          <w:sz w:val="18"/>
          <w:szCs w:val="18"/>
        </w:rPr>
        <w:tab/>
      </w:r>
    </w:p>
    <w:tbl>
      <w:tblPr>
        <w:tblStyle w:val="2"/>
        <w:tblW w:w="9878" w:type="dxa"/>
        <w:jc w:val="center"/>
        <w:tblInd w:w="0" w:type="dxa"/>
        <w:tblLayout w:type="fixed"/>
        <w:tblCellMar>
          <w:top w:w="0" w:type="dxa"/>
          <w:left w:w="108" w:type="dxa"/>
          <w:bottom w:w="0" w:type="dxa"/>
          <w:right w:w="108" w:type="dxa"/>
        </w:tblCellMar>
      </w:tblPr>
      <w:tblGrid>
        <w:gridCol w:w="3480"/>
        <w:gridCol w:w="936"/>
        <w:gridCol w:w="936"/>
        <w:gridCol w:w="987"/>
        <w:gridCol w:w="1217"/>
        <w:gridCol w:w="1187"/>
        <w:gridCol w:w="1135"/>
      </w:tblGrid>
      <w:tr>
        <w:tblPrEx>
          <w:tblLayout w:type="fixed"/>
          <w:tblCellMar>
            <w:top w:w="0" w:type="dxa"/>
            <w:left w:w="108" w:type="dxa"/>
            <w:bottom w:w="0" w:type="dxa"/>
            <w:right w:w="108" w:type="dxa"/>
          </w:tblCellMar>
        </w:tblPrEx>
        <w:trPr>
          <w:trHeight w:val="525" w:hRule="atLeast"/>
          <w:jc w:val="center"/>
        </w:trPr>
        <w:tc>
          <w:tcPr>
            <w:tcW w:w="34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财政供养人员情况</w:t>
            </w:r>
          </w:p>
        </w:tc>
        <w:tc>
          <w:tcPr>
            <w:tcW w:w="1872"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编制数</w:t>
            </w:r>
          </w:p>
        </w:tc>
        <w:tc>
          <w:tcPr>
            <w:tcW w:w="2204"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2018年实际在职</w:t>
            </w:r>
          </w:p>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人数</w:t>
            </w:r>
          </w:p>
        </w:tc>
        <w:tc>
          <w:tcPr>
            <w:tcW w:w="2322"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控制率</w:t>
            </w:r>
          </w:p>
        </w:tc>
      </w:tr>
      <w:tr>
        <w:tblPrEx>
          <w:tblLayout w:type="fixed"/>
          <w:tblCellMar>
            <w:top w:w="0" w:type="dxa"/>
            <w:left w:w="108" w:type="dxa"/>
            <w:bottom w:w="0" w:type="dxa"/>
            <w:right w:w="108" w:type="dxa"/>
          </w:tblCellMar>
        </w:tblPrEx>
        <w:trPr>
          <w:trHeight w:val="525" w:hRule="atLeast"/>
          <w:jc w:val="center"/>
        </w:trPr>
        <w:tc>
          <w:tcPr>
            <w:tcW w:w="34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p>
        </w:tc>
        <w:tc>
          <w:tcPr>
            <w:tcW w:w="1872"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67</w:t>
            </w:r>
            <w:r>
              <w:rPr>
                <w:rFonts w:hint="eastAsia" w:asciiTheme="minorEastAsia" w:hAnsiTheme="minorEastAsia" w:eastAsiaTheme="minorEastAsia" w:cstheme="minorEastAsia"/>
                <w:kern w:val="0"/>
                <w:sz w:val="18"/>
                <w:szCs w:val="18"/>
              </w:rPr>
              <w:t>　</w:t>
            </w:r>
          </w:p>
        </w:tc>
        <w:tc>
          <w:tcPr>
            <w:tcW w:w="2204"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89</w:t>
            </w:r>
            <w:r>
              <w:rPr>
                <w:rFonts w:hint="eastAsia" w:asciiTheme="minorEastAsia" w:hAnsiTheme="minorEastAsia" w:eastAsiaTheme="minorEastAsia" w:cstheme="minorEastAsia"/>
                <w:kern w:val="0"/>
                <w:sz w:val="18"/>
                <w:szCs w:val="18"/>
              </w:rPr>
              <w:t>　</w:t>
            </w:r>
          </w:p>
        </w:tc>
        <w:tc>
          <w:tcPr>
            <w:tcW w:w="2322"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132.83%</w:t>
            </w: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经费控制情况</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2017年决算数</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2018年预算数</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2018年决算数</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三公经费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39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1、公务用车购置和维护经费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kern w:val="0"/>
                <w:sz w:val="18"/>
                <w:szCs w:val="18"/>
                <w:lang w:val="en-US"/>
              </w:rPr>
            </w:pPr>
            <w:r>
              <w:rPr>
                <w:rFonts w:hint="eastAsia" w:asciiTheme="minorEastAsia" w:hAnsiTheme="minorEastAsia" w:eastAsiaTheme="minorEastAsia" w:cstheme="minorEastAsia"/>
                <w:kern w:val="0"/>
                <w:sz w:val="18"/>
                <w:szCs w:val="18"/>
                <w:lang w:val="en-US" w:eastAsia="zh-CN"/>
              </w:rPr>
              <w:t>3.5</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lang w:val="en-US" w:eastAsia="zh-CN"/>
              </w:rPr>
              <w:t>6.5</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3</w:t>
            </w: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其中：公车购置</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公车运行维护</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kern w:val="0"/>
                <w:sz w:val="18"/>
                <w:szCs w:val="18"/>
                <w:lang w:val="en-US"/>
              </w:rPr>
            </w:pPr>
            <w:r>
              <w:rPr>
                <w:rFonts w:hint="eastAsia" w:asciiTheme="minorEastAsia" w:hAnsiTheme="minorEastAsia" w:eastAsiaTheme="minorEastAsia" w:cstheme="minorEastAsia"/>
                <w:kern w:val="0"/>
                <w:sz w:val="18"/>
                <w:szCs w:val="18"/>
                <w:lang w:val="en-US" w:eastAsia="zh-CN"/>
              </w:rPr>
              <w:t>3.5</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kern w:val="0"/>
                <w:sz w:val="18"/>
                <w:szCs w:val="18"/>
                <w:lang w:val="en-US"/>
              </w:rPr>
            </w:pPr>
            <w:r>
              <w:rPr>
                <w:rFonts w:hint="eastAsia" w:asciiTheme="minorEastAsia" w:hAnsiTheme="minorEastAsia" w:eastAsiaTheme="minorEastAsia" w:cstheme="minorEastAsia"/>
                <w:kern w:val="0"/>
                <w:sz w:val="18"/>
                <w:szCs w:val="18"/>
                <w:lang w:val="en-US" w:eastAsia="zh-CN"/>
              </w:rPr>
              <w:t>6.5</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3</w:t>
            </w: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2、出国经费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3、公务接待</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kern w:val="0"/>
                <w:sz w:val="18"/>
                <w:szCs w:val="18"/>
                <w:lang w:val="en-US"/>
              </w:rPr>
            </w:pPr>
            <w:r>
              <w:rPr>
                <w:rFonts w:hint="eastAsia" w:asciiTheme="minorEastAsia" w:hAnsiTheme="minorEastAsia" w:eastAsiaTheme="minorEastAsia" w:cstheme="minorEastAsia"/>
                <w:kern w:val="0"/>
                <w:sz w:val="18"/>
                <w:szCs w:val="18"/>
                <w:lang w:val="en-US" w:eastAsia="zh-CN"/>
              </w:rPr>
              <w:t>7.2</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kern w:val="0"/>
                <w:sz w:val="18"/>
                <w:szCs w:val="18"/>
                <w:lang w:val="en-US"/>
              </w:rPr>
            </w:pPr>
            <w:r>
              <w:rPr>
                <w:rFonts w:hint="eastAsia" w:asciiTheme="minorEastAsia" w:hAnsiTheme="minorEastAsia" w:eastAsiaTheme="minorEastAsia" w:cstheme="minorEastAsia"/>
                <w:kern w:val="0"/>
                <w:sz w:val="18"/>
                <w:szCs w:val="18"/>
                <w:lang w:val="en-US" w:eastAsia="zh-CN"/>
              </w:rPr>
              <w:t>8.5</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5.1</w:t>
            </w: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39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项目支出：</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1、业务工作专项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2、运行维护专项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公用经费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p>
        </w:tc>
      </w:tr>
      <w:tr>
        <w:tblPrEx>
          <w:tblLayout w:type="fixed"/>
          <w:tblCellMar>
            <w:top w:w="0" w:type="dxa"/>
            <w:left w:w="108" w:type="dxa"/>
            <w:bottom w:w="0" w:type="dxa"/>
            <w:right w:w="108" w:type="dxa"/>
          </w:tblCellMar>
        </w:tblPrEx>
        <w:trPr>
          <w:trHeight w:val="39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其中：办公经费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t>42.9</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t>18.2</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t>53.5</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水费、电费、差旅费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t>2.9</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t>4.6</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ind w:firstLine="720" w:firstLineChars="400"/>
              <w:jc w:val="both"/>
              <w:rPr>
                <w:rFonts w:hint="default"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t>3.03</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会议费、培训费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t>1.46</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t>3.9</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default"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18"/>
                <w:szCs w:val="18"/>
                <w:lang w:val="en-US" w:eastAsia="zh-CN"/>
                <w14:textFill>
                  <w14:solidFill>
                    <w14:schemeClr w14:val="tx1"/>
                  </w14:solidFill>
                </w14:textFill>
              </w:rPr>
              <w:t>1.62</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政府采购金额</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部门整体支出预算调整 </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856" w:hRule="atLeast"/>
          <w:jc w:val="center"/>
        </w:trPr>
        <w:tc>
          <w:tcPr>
            <w:tcW w:w="3480" w:type="dxa"/>
            <w:vMerge w:val="restart"/>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楼堂馆所控制情况</w:t>
            </w:r>
          </w:p>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（2018年完工项目）</w:t>
            </w:r>
          </w:p>
        </w:tc>
        <w:tc>
          <w:tcPr>
            <w:tcW w:w="936" w:type="dxa"/>
            <w:tcBorders>
              <w:top w:val="nil"/>
              <w:left w:val="nil"/>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批复</w:t>
            </w:r>
          </w:p>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规模</w:t>
            </w:r>
          </w:p>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w:t>
            </w:r>
          </w:p>
        </w:tc>
        <w:tc>
          <w:tcPr>
            <w:tcW w:w="936" w:type="dxa"/>
            <w:tcBorders>
              <w:top w:val="nil"/>
              <w:left w:val="nil"/>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实际</w:t>
            </w:r>
          </w:p>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规模</w:t>
            </w:r>
          </w:p>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w:t>
            </w:r>
          </w:p>
        </w:tc>
        <w:tc>
          <w:tcPr>
            <w:tcW w:w="987" w:type="dxa"/>
            <w:tcBorders>
              <w:top w:val="nil"/>
              <w:left w:val="nil"/>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规  模</w:t>
            </w:r>
          </w:p>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控制率</w:t>
            </w:r>
          </w:p>
        </w:tc>
        <w:tc>
          <w:tcPr>
            <w:tcW w:w="1217" w:type="dxa"/>
            <w:tcBorders>
              <w:top w:val="nil"/>
              <w:left w:val="nil"/>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预算投资</w:t>
            </w:r>
          </w:p>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（万元）</w:t>
            </w:r>
          </w:p>
        </w:tc>
        <w:tc>
          <w:tcPr>
            <w:tcW w:w="1187" w:type="dxa"/>
            <w:tcBorders>
              <w:top w:val="nil"/>
              <w:left w:val="nil"/>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实际投资</w:t>
            </w:r>
          </w:p>
          <w:p>
            <w:pPr>
              <w:widowControl/>
              <w:spacing w:line="280" w:lineRule="exact"/>
              <w:jc w:val="center"/>
              <w:rPr>
                <w:rFonts w:hint="eastAsia" w:asciiTheme="minorEastAsia" w:hAnsiTheme="minorEastAsia" w:eastAsiaTheme="minorEastAsia" w:cstheme="minorEastAsia"/>
                <w:bCs/>
                <w:kern w:val="0"/>
                <w:sz w:val="18"/>
                <w:szCs w:val="18"/>
              </w:rPr>
            </w:pPr>
            <w:r>
              <w:rPr>
                <w:rFonts w:hint="eastAsia" w:asciiTheme="minorEastAsia" w:hAnsiTheme="minorEastAsia" w:eastAsiaTheme="minorEastAsia" w:cstheme="minorEastAsia"/>
                <w:bCs/>
                <w:kern w:val="0"/>
                <w:sz w:val="18"/>
                <w:szCs w:val="18"/>
              </w:rPr>
              <w:t>（万元）</w:t>
            </w:r>
          </w:p>
        </w:tc>
        <w:tc>
          <w:tcPr>
            <w:tcW w:w="1135" w:type="dxa"/>
            <w:tcBorders>
              <w:top w:val="nil"/>
              <w:left w:val="nil"/>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bCs/>
                <w:spacing w:val="-6"/>
                <w:kern w:val="0"/>
                <w:sz w:val="18"/>
                <w:szCs w:val="18"/>
              </w:rPr>
            </w:pPr>
            <w:r>
              <w:rPr>
                <w:rFonts w:hint="eastAsia" w:asciiTheme="minorEastAsia" w:hAnsiTheme="minorEastAsia" w:eastAsiaTheme="minorEastAsia" w:cstheme="minorEastAsia"/>
                <w:bCs/>
                <w:spacing w:val="-6"/>
                <w:kern w:val="0"/>
                <w:sz w:val="18"/>
                <w:szCs w:val="18"/>
              </w:rPr>
              <w:t>投资概算控制率</w:t>
            </w:r>
          </w:p>
        </w:tc>
      </w:tr>
      <w:tr>
        <w:tblPrEx>
          <w:tblLayout w:type="fixed"/>
          <w:tblCellMar>
            <w:top w:w="0" w:type="dxa"/>
            <w:left w:w="108" w:type="dxa"/>
            <w:bottom w:w="0" w:type="dxa"/>
            <w:right w:w="108" w:type="dxa"/>
          </w:tblCellMar>
        </w:tblPrEx>
        <w:trPr>
          <w:trHeight w:val="678" w:hRule="atLeast"/>
          <w:jc w:val="center"/>
        </w:trPr>
        <w:tc>
          <w:tcPr>
            <w:tcW w:w="34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p>
        </w:tc>
        <w:tc>
          <w:tcPr>
            <w:tcW w:w="936" w:type="dxa"/>
            <w:tcBorders>
              <w:top w:val="nil"/>
              <w:left w:val="nil"/>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936" w:type="dxa"/>
            <w:tcBorders>
              <w:top w:val="nil"/>
              <w:left w:val="nil"/>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987" w:type="dxa"/>
            <w:tcBorders>
              <w:top w:val="nil"/>
              <w:left w:val="nil"/>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1217" w:type="dxa"/>
            <w:tcBorders>
              <w:top w:val="nil"/>
              <w:left w:val="nil"/>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1187" w:type="dxa"/>
            <w:tcBorders>
              <w:top w:val="nil"/>
              <w:left w:val="nil"/>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1135" w:type="dxa"/>
            <w:tcBorders>
              <w:top w:val="nil"/>
              <w:left w:val="nil"/>
              <w:bottom w:val="single" w:color="auto" w:sz="4" w:space="0"/>
              <w:right w:val="single" w:color="auto" w:sz="4" w:space="0"/>
            </w:tcBorders>
            <w:vAlign w:val="center"/>
          </w:tcPr>
          <w:p>
            <w:pPr>
              <w:widowControl/>
              <w:spacing w:line="280" w:lineRule="exact"/>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65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厉行节约保障措施</w:t>
            </w:r>
          </w:p>
        </w:tc>
        <w:tc>
          <w:tcPr>
            <w:tcW w:w="6398" w:type="dxa"/>
            <w:gridSpan w:val="6"/>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r>
      <w:tr>
        <w:tblPrEx>
          <w:tblLayout w:type="fixed"/>
          <w:tblCellMar>
            <w:top w:w="0" w:type="dxa"/>
            <w:left w:w="108" w:type="dxa"/>
            <w:bottom w:w="0" w:type="dxa"/>
            <w:right w:w="108" w:type="dxa"/>
          </w:tblCellMar>
        </w:tblPrEx>
        <w:trPr>
          <w:trHeight w:val="700" w:hRule="atLeast"/>
          <w:jc w:val="center"/>
        </w:trPr>
        <w:tc>
          <w:tcPr>
            <w:tcW w:w="9878" w:type="dxa"/>
            <w:gridSpan w:val="7"/>
            <w:tcBorders>
              <w:top w:val="single" w:color="auto" w:sz="4" w:space="0"/>
              <w:left w:val="nil"/>
              <w:bottom w:val="nil"/>
              <w:right w:val="nil"/>
            </w:tcBorders>
            <w:vAlign w:val="center"/>
          </w:tcPr>
          <w:p>
            <w:pPr>
              <w:widowControl/>
              <w:spacing w:line="340" w:lineRule="exact"/>
              <w:ind w:left="653" w:hanging="831" w:hangingChars="297"/>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28"/>
                <w:szCs w:val="28"/>
              </w:rPr>
              <w:t>说明：“项目支出”需要填报除专项资金和基本支出以外的所有项目情况，包括业务工作项目、运行维护项目等；“公用经费”填报基本支出中的一般商品和服务支出。</w:t>
            </w:r>
          </w:p>
        </w:tc>
      </w:tr>
    </w:tbl>
    <w:p/>
    <w:p>
      <w:pPr>
        <w:bidi w:val="0"/>
        <w:jc w:val="left"/>
        <w:rPr>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SimSun-ExtB"/>
    <w:panose1 w:val="00000000000000000000"/>
    <w:charset w:val="86"/>
    <w:family w:val="script"/>
    <w:pitch w:val="default"/>
    <w:sig w:usb0="00000000" w:usb1="00000000" w:usb2="00000010" w:usb3="00000000" w:csb0="00040000" w:csb1="00000000"/>
  </w:font>
  <w:font w:name="SimSun-ExtB">
    <w:panose1 w:val="02010609060101010101"/>
    <w:charset w:val="86"/>
    <w:family w:val="auto"/>
    <w:pitch w:val="default"/>
    <w:sig w:usb0="00000001" w:usb1="02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837E9C"/>
    <w:multiLevelType w:val="singleLevel"/>
    <w:tmpl w:val="96837E9C"/>
    <w:lvl w:ilvl="0" w:tentative="0">
      <w:start w:val="4"/>
      <w:numFmt w:val="chineseCounting"/>
      <w:suff w:val="nothing"/>
      <w:lvlText w:val="%1、"/>
      <w:lvlJc w:val="left"/>
      <w:rPr>
        <w:rFonts w:hint="eastAsia"/>
      </w:rPr>
    </w:lvl>
  </w:abstractNum>
  <w:abstractNum w:abstractNumId="1">
    <w:nsid w:val="9D473570"/>
    <w:multiLevelType w:val="singleLevel"/>
    <w:tmpl w:val="9D473570"/>
    <w:lvl w:ilvl="0" w:tentative="0">
      <w:start w:val="5"/>
      <w:numFmt w:val="chineseCounting"/>
      <w:suff w:val="nothing"/>
      <w:lvlText w:val="%1、"/>
      <w:lvlJc w:val="left"/>
      <w:rPr>
        <w:rFonts w:hint="eastAsia"/>
      </w:rPr>
    </w:lvl>
  </w:abstractNum>
  <w:abstractNum w:abstractNumId="2">
    <w:nsid w:val="E605CD22"/>
    <w:multiLevelType w:val="singleLevel"/>
    <w:tmpl w:val="E605CD22"/>
    <w:lvl w:ilvl="0" w:tentative="0">
      <w:start w:val="3"/>
      <w:numFmt w:val="chineseCounting"/>
      <w:suff w:val="nothing"/>
      <w:lvlText w:val="（%1）"/>
      <w:lvlJc w:val="left"/>
      <w:rPr>
        <w:rFonts w:hint="eastAsia"/>
      </w:rPr>
    </w:lvl>
  </w:abstractNum>
  <w:abstractNum w:abstractNumId="3">
    <w:nsid w:val="F2C1006F"/>
    <w:multiLevelType w:val="singleLevel"/>
    <w:tmpl w:val="F2C1006F"/>
    <w:lvl w:ilvl="0" w:tentative="0">
      <w:start w:val="2"/>
      <w:numFmt w:val="chineseCounting"/>
      <w:suff w:val="nothing"/>
      <w:lvlText w:val="（%1）"/>
      <w:lvlJc w:val="left"/>
      <w:rPr>
        <w:rFonts w:hint="eastAsia"/>
      </w:rPr>
    </w:lvl>
  </w:abstractNum>
  <w:abstractNum w:abstractNumId="4">
    <w:nsid w:val="2FBB4826"/>
    <w:multiLevelType w:val="singleLevel"/>
    <w:tmpl w:val="2FBB4826"/>
    <w:lvl w:ilvl="0" w:tentative="0">
      <w:start w:val="2"/>
      <w:numFmt w:val="chineseCounting"/>
      <w:suff w:val="nothing"/>
      <w:lvlText w:val="（%1）"/>
      <w:lvlJc w:val="left"/>
      <w:rPr>
        <w:rFonts w:hint="eastAsia"/>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D55B1"/>
    <w:rsid w:val="19FA6E6E"/>
    <w:rsid w:val="1D5000B8"/>
    <w:rsid w:val="1FDE49FF"/>
    <w:rsid w:val="21D64E6B"/>
    <w:rsid w:val="2E293285"/>
    <w:rsid w:val="30255D24"/>
    <w:rsid w:val="36A747F1"/>
    <w:rsid w:val="38FB7155"/>
    <w:rsid w:val="49F431FB"/>
    <w:rsid w:val="4FDB13EA"/>
    <w:rsid w:val="55D123B9"/>
    <w:rsid w:val="5F84436D"/>
    <w:rsid w:val="6FEF34B6"/>
    <w:rsid w:val="745B2652"/>
    <w:rsid w:val="792727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黄小玮༄ ℳ</cp:lastModifiedBy>
  <dcterms:modified xsi:type="dcterms:W3CDTF">2020-06-23T02:40:30Z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