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eastAsia="方正小标宋简体"/>
          <w:sz w:val="44"/>
          <w:szCs w:val="44"/>
        </w:rPr>
        <w:t>年度部门整体支出绩效自评报告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24" w:firstLineChars="200"/>
        <w:rPr>
          <w:b/>
        </w:rPr>
      </w:pPr>
      <w:r>
        <w:rPr>
          <w:b/>
        </w:rPr>
        <w:t>一、部门概况</w:t>
      </w:r>
    </w:p>
    <w:p>
      <w:pPr>
        <w:ind w:firstLine="624" w:firstLineChars="200"/>
      </w:pPr>
      <w:r>
        <w:t>（一）部门基本情况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内设办公室、养老保险股、工伤保险股、基金监督股、公务员管理股、工资股、退管福利、军转安置办、职改办、规划仲裁股，医疗生育保险股、职业能力建设股、劳动关系股、就业促进与失业保险股等13个股室，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在编在岗</w:t>
      </w:r>
      <w:r>
        <w:rPr>
          <w:rFonts w:hint="eastAsia" w:ascii="仿宋_GB2312" w:hAnsi="仿宋_GB2312" w:cs="仿宋_GB2312"/>
          <w:bCs/>
          <w:sz w:val="30"/>
          <w:szCs w:val="30"/>
        </w:rPr>
        <w:t>人员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61</w:t>
      </w:r>
      <w:r>
        <w:rPr>
          <w:rFonts w:hint="eastAsia" w:ascii="仿宋_GB2312" w:hAnsi="仿宋_GB2312" w:cs="仿宋_GB2312"/>
          <w:bCs/>
          <w:sz w:val="30"/>
          <w:szCs w:val="30"/>
        </w:rPr>
        <w:t>人，其中正科级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人，副科级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cs="仿宋_GB2312"/>
          <w:bCs/>
          <w:sz w:val="30"/>
          <w:szCs w:val="30"/>
        </w:rPr>
        <w:t>人，科员及以下人员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47</w:t>
      </w:r>
      <w:r>
        <w:rPr>
          <w:rFonts w:hint="eastAsia" w:ascii="仿宋_GB2312" w:hAnsi="仿宋_GB2312" w:cs="仿宋_GB2312"/>
          <w:bCs/>
          <w:sz w:val="30"/>
          <w:szCs w:val="30"/>
        </w:rPr>
        <w:t>人，退休人员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cs="仿宋_GB2312"/>
          <w:bCs/>
          <w:sz w:val="30"/>
          <w:szCs w:val="30"/>
        </w:rPr>
        <w:t>人。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其中：局机关在编在岗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22人，</w:t>
      </w:r>
      <w:r>
        <w:rPr>
          <w:rFonts w:hint="eastAsia" w:ascii="仿宋_GB2312" w:hAnsi="仿宋_GB2312" w:cs="仿宋_GB2312"/>
          <w:bCs/>
          <w:sz w:val="30"/>
          <w:szCs w:val="30"/>
        </w:rPr>
        <w:t>劳动保障监察大队16人，其中副科级1人科员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bCs/>
          <w:sz w:val="30"/>
          <w:szCs w:val="30"/>
        </w:rPr>
        <w:t>人，工勤人员1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bCs/>
          <w:sz w:val="30"/>
          <w:szCs w:val="30"/>
        </w:rPr>
        <w:t>人，退休人员1人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人力资源服务中心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cs="仿宋_GB2312"/>
          <w:bCs/>
          <w:sz w:val="30"/>
          <w:szCs w:val="30"/>
        </w:rPr>
        <w:t>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劳动人事争议仲裁院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再就业与小额贷款担保中心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cs="仿宋_GB2312"/>
          <w:bCs/>
          <w:sz w:val="30"/>
          <w:szCs w:val="30"/>
        </w:rPr>
        <w:t>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绩效办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bCs/>
          <w:sz w:val="30"/>
          <w:szCs w:val="30"/>
        </w:rPr>
        <w:t>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档案室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cs="仿宋_GB2312"/>
          <w:bCs/>
          <w:sz w:val="30"/>
          <w:szCs w:val="30"/>
        </w:rPr>
        <w:t>人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信息中心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bCs/>
          <w:sz w:val="30"/>
          <w:szCs w:val="30"/>
        </w:rPr>
        <w:t>人。</w:t>
      </w:r>
    </w:p>
    <w:p>
      <w:pPr>
        <w:ind w:firstLine="624" w:firstLineChars="200"/>
      </w:pPr>
      <w:r>
        <w:t>（二）201</w:t>
      </w:r>
      <w:r>
        <w:rPr>
          <w:rFonts w:hint="eastAsia"/>
          <w:lang w:val="en-US" w:eastAsia="zh-CN"/>
        </w:rPr>
        <w:t>8</w:t>
      </w:r>
      <w:r>
        <w:t>年的重点工作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1、进一步促进就业，采取措施保证下岗失业人员再就业，加强农村劳动力转移就业，保证城镇零就业家庭动态援助率100%。2、开展各类技能培训、职业技能鉴定。3、各大社会保险在保证完成任务的情况下，尽量争取超额完成任务，做到全区范围内应保尽保。4、组织全区各部门、单位的人事招聘考试，为我区引进优秀人才。5、组织参与全区绩效评估考核工作，完善考核细则，成立绩效考核长效机制。6、完成全区行政事业单位人员年终考核工作，审核各单位评选出的先进个人；根据政策做好年度全区人事调配工作，保障人才的正常流动。7、完成全区机关事业单位人员工资调资工作，审核审批退休人员养老金待遇。8、实施劳动保障监察，协调处理劳动纠纷、争议，依法查处违法案件，注重保障农民权益，做农民工最强有力的后盾。9、加强社保基金的监督，保证社保基金规范运作率和安全完整率均达到100%。</w:t>
      </w:r>
    </w:p>
    <w:p>
      <w:pPr>
        <w:numPr>
          <w:ilvl w:val="0"/>
          <w:numId w:val="1"/>
        </w:numPr>
        <w:ind w:firstLine="624" w:firstLineChars="200"/>
      </w:pPr>
      <w:r>
        <w:t>部门整体支出情况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201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年预算执行总支出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1303.84万元</w:t>
      </w:r>
      <w:r>
        <w:rPr>
          <w:rFonts w:hint="eastAsia" w:ascii="仿宋_GB2312" w:hAnsi="仿宋_GB2312" w:cs="仿宋_GB2312"/>
          <w:bCs/>
          <w:sz w:val="30"/>
          <w:szCs w:val="30"/>
        </w:rPr>
        <w:t>，同比增加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237.48</w:t>
      </w:r>
      <w:r>
        <w:rPr>
          <w:rFonts w:hint="eastAsia" w:ascii="仿宋_GB2312" w:hAnsi="仿宋_GB2312" w:cs="仿宋_GB2312"/>
          <w:bCs/>
          <w:sz w:val="30"/>
          <w:szCs w:val="30"/>
        </w:rPr>
        <w:t>万元，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增长率22.2</w:t>
      </w:r>
      <w:r>
        <w:rPr>
          <w:rFonts w:hint="eastAsia" w:ascii="仿宋_GB2312" w:hAnsi="仿宋_GB2312" w:cs="仿宋_GB2312"/>
          <w:bCs/>
          <w:sz w:val="30"/>
          <w:szCs w:val="30"/>
        </w:rPr>
        <w:t>%。其中一般公共服务支出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787.6</w:t>
      </w:r>
      <w:r>
        <w:rPr>
          <w:rFonts w:hint="eastAsia" w:ascii="仿宋_GB2312" w:hAnsi="仿宋_GB2312" w:cs="仿宋_GB2312"/>
          <w:bCs/>
          <w:sz w:val="30"/>
          <w:szCs w:val="30"/>
        </w:rPr>
        <w:t>万元，同比增加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166.19</w:t>
      </w:r>
      <w:r>
        <w:rPr>
          <w:rFonts w:hint="eastAsia" w:ascii="仿宋_GB2312" w:hAnsi="仿宋_GB2312" w:cs="仿宋_GB2312"/>
          <w:bCs/>
          <w:sz w:val="30"/>
          <w:szCs w:val="30"/>
        </w:rPr>
        <w:t>万元，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增长率26.7</w:t>
      </w:r>
      <w:r>
        <w:rPr>
          <w:rFonts w:hint="eastAsia" w:ascii="仿宋_GB2312" w:hAnsi="仿宋_GB2312" w:cs="仿宋_GB2312"/>
          <w:bCs/>
          <w:sz w:val="30"/>
          <w:szCs w:val="30"/>
        </w:rPr>
        <w:t>%；社会保障和就业支出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449.36</w:t>
      </w:r>
      <w:r>
        <w:rPr>
          <w:rFonts w:hint="eastAsia" w:ascii="仿宋_GB2312" w:hAnsi="仿宋_GB2312" w:cs="仿宋_GB2312"/>
          <w:bCs/>
          <w:sz w:val="30"/>
          <w:szCs w:val="30"/>
        </w:rPr>
        <w:t>万元，同比增加了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66.1</w:t>
      </w:r>
      <w:r>
        <w:rPr>
          <w:rFonts w:hint="eastAsia" w:ascii="仿宋_GB2312" w:hAnsi="仿宋_GB2312" w:cs="仿宋_GB2312"/>
          <w:bCs/>
          <w:sz w:val="30"/>
          <w:szCs w:val="30"/>
        </w:rPr>
        <w:t>万元，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增长率17.2</w:t>
      </w:r>
      <w:r>
        <w:rPr>
          <w:rFonts w:hint="eastAsia" w:ascii="仿宋_GB2312" w:hAnsi="仿宋_GB2312" w:cs="仿宋_GB2312"/>
          <w:bCs/>
          <w:sz w:val="30"/>
          <w:szCs w:val="30"/>
        </w:rPr>
        <w:t>%；医疗卫生与计划生育支出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26.6</w:t>
      </w:r>
      <w:r>
        <w:rPr>
          <w:rFonts w:hint="eastAsia" w:ascii="仿宋_GB2312" w:hAnsi="仿宋_GB2312" w:cs="仿宋_GB2312"/>
          <w:bCs/>
          <w:sz w:val="30"/>
          <w:szCs w:val="30"/>
        </w:rPr>
        <w:t>万元，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同比增加了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6.05万元，增长率29.4%</w:t>
      </w:r>
      <w:r>
        <w:rPr>
          <w:rFonts w:hint="eastAsia" w:ascii="仿宋_GB2312" w:hAnsi="仿宋_GB2312" w:cs="仿宋_GB2312"/>
          <w:bCs/>
          <w:sz w:val="30"/>
          <w:szCs w:val="30"/>
        </w:rPr>
        <w:t>。住房保障支出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40.28</w:t>
      </w:r>
      <w:r>
        <w:rPr>
          <w:rFonts w:hint="eastAsia" w:ascii="仿宋_GB2312" w:hAnsi="仿宋_GB2312" w:cs="仿宋_GB2312"/>
          <w:bCs/>
          <w:sz w:val="30"/>
          <w:szCs w:val="30"/>
        </w:rPr>
        <w:t>万元，同比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减少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0.85</w:t>
      </w:r>
      <w:r>
        <w:rPr>
          <w:rFonts w:hint="eastAsia" w:ascii="仿宋_GB2312" w:hAnsi="仿宋_GB2312" w:cs="仿宋_GB2312"/>
          <w:bCs/>
          <w:sz w:val="30"/>
          <w:szCs w:val="30"/>
        </w:rPr>
        <w:t>万元，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增长率-2.1</w:t>
      </w:r>
      <w:r>
        <w:rPr>
          <w:rFonts w:hint="eastAsia" w:ascii="仿宋_GB2312" w:hAnsi="仿宋_GB2312" w:cs="仿宋_GB2312"/>
          <w:bCs/>
          <w:sz w:val="30"/>
          <w:szCs w:val="30"/>
        </w:rPr>
        <w:t>%。增长原因主要人员工资增长。当年收支平衡。</w:t>
      </w:r>
    </w:p>
    <w:p>
      <w:pPr>
        <w:tabs>
          <w:tab w:val="left" w:pos="437"/>
        </w:tabs>
        <w:ind w:firstLine="624" w:firstLineChars="200"/>
        <w:rPr>
          <w:b/>
        </w:rPr>
      </w:pPr>
      <w:r>
        <w:rPr>
          <w:b/>
        </w:rPr>
        <w:t>二、部门整体支出管理及使用情况</w:t>
      </w:r>
    </w:p>
    <w:p>
      <w:pPr>
        <w:ind w:firstLine="624" w:firstLineChars="200"/>
      </w:pPr>
      <w:r>
        <w:t>（一）基本支出情况。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201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年基本支出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953.5</w:t>
      </w:r>
      <w:r>
        <w:rPr>
          <w:rFonts w:hint="eastAsia" w:ascii="仿宋_GB2312" w:hAnsi="仿宋_GB2312" w:cs="仿宋_GB2312"/>
          <w:bCs/>
          <w:sz w:val="30"/>
          <w:szCs w:val="30"/>
        </w:rPr>
        <w:t>万元，其中工资福利支出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802.62</w:t>
      </w:r>
      <w:r>
        <w:rPr>
          <w:rFonts w:hint="eastAsia" w:ascii="仿宋_GB2312" w:hAnsi="仿宋_GB2312" w:cs="仿宋_GB2312"/>
          <w:bCs/>
          <w:sz w:val="30"/>
          <w:szCs w:val="30"/>
        </w:rPr>
        <w:t>万元，商品服务支出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122.18</w:t>
      </w:r>
      <w:r>
        <w:rPr>
          <w:rFonts w:hint="eastAsia" w:ascii="仿宋_GB2312" w:hAnsi="仿宋_GB2312" w:cs="仿宋_GB2312"/>
          <w:bCs/>
          <w:sz w:val="30"/>
          <w:szCs w:val="30"/>
        </w:rPr>
        <w:t>万元，对个人和家庭的补助支出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24.7</w:t>
      </w:r>
      <w:r>
        <w:rPr>
          <w:rFonts w:hint="eastAsia" w:ascii="仿宋_GB2312" w:hAnsi="仿宋_GB2312" w:cs="仿宋_GB2312"/>
          <w:bCs/>
          <w:sz w:val="30"/>
          <w:szCs w:val="30"/>
        </w:rPr>
        <w:t>万元，其他资本性支出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bCs/>
          <w:sz w:val="30"/>
          <w:szCs w:val="30"/>
        </w:rPr>
        <w:t>万元。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（二）项目支出情况。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2018年项目支出350.34万元，其中其他政府办公厅（室）及相关机构事务支出198.38万元；一般行政管理事务137.65万元；劳动保障监察10.51万元；劳动关系和维权3.8万元。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（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三</w:t>
      </w:r>
      <w:r>
        <w:rPr>
          <w:rFonts w:hint="eastAsia" w:ascii="仿宋_GB2312" w:hAnsi="仿宋_GB2312" w:cs="仿宋_GB2312"/>
          <w:bCs/>
          <w:sz w:val="30"/>
          <w:szCs w:val="30"/>
        </w:rPr>
        <w:t>）“三公”经费情况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201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年“三公”经费支出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6.2</w:t>
      </w:r>
      <w:r>
        <w:rPr>
          <w:rFonts w:hint="eastAsia" w:ascii="仿宋_GB2312" w:hAnsi="仿宋_GB2312" w:cs="仿宋_GB2312"/>
          <w:bCs/>
          <w:sz w:val="30"/>
          <w:szCs w:val="30"/>
        </w:rPr>
        <w:t>万元（其中公务接待经费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bCs/>
          <w:sz w:val="30"/>
          <w:szCs w:val="30"/>
        </w:rPr>
        <w:t>万元，公务用车运行经费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1.2</w:t>
      </w:r>
      <w:r>
        <w:rPr>
          <w:rFonts w:hint="eastAsia" w:ascii="仿宋_GB2312" w:hAnsi="仿宋_GB2312" w:cs="仿宋_GB2312"/>
          <w:bCs/>
          <w:sz w:val="30"/>
          <w:szCs w:val="30"/>
        </w:rPr>
        <w:t>万元，因公出国（境）费全年支出0 万元），同比减少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8.1</w:t>
      </w:r>
      <w:r>
        <w:rPr>
          <w:rFonts w:hint="eastAsia" w:ascii="仿宋_GB2312" w:hAnsi="仿宋_GB2312" w:cs="仿宋_GB2312"/>
          <w:bCs/>
          <w:sz w:val="30"/>
          <w:szCs w:val="30"/>
        </w:rPr>
        <w:t>万元，减少了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56.6</w:t>
      </w:r>
      <w:r>
        <w:rPr>
          <w:rFonts w:hint="eastAsia" w:ascii="仿宋_GB2312" w:hAnsi="仿宋_GB2312" w:cs="仿宋_GB2312"/>
          <w:bCs/>
          <w:sz w:val="30"/>
          <w:szCs w:val="30"/>
        </w:rPr>
        <w:t>%。主要原因是贯彻执行党中央、国务院厉行节约精神，采取有效措施严格控制和压缩“三公”经费支出。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</w:rPr>
        <w:t>三、部门整体支出绩效情况</w:t>
      </w:r>
    </w:p>
    <w:p>
      <w:pPr>
        <w:snapToGrid w:val="0"/>
        <w:spacing w:line="520" w:lineRule="exact"/>
        <w:ind w:firstLine="584" w:firstLineChars="200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201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在财政正常经费拨款</w:t>
      </w:r>
      <w:r>
        <w:rPr>
          <w:rFonts w:hint="eastAsia" w:ascii="仿宋_GB2312" w:hAnsi="仿宋_GB2312" w:cs="仿宋_GB2312"/>
          <w:bCs/>
          <w:sz w:val="30"/>
          <w:szCs w:val="30"/>
        </w:rPr>
        <w:t>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1303.84</w:t>
      </w:r>
      <w:r>
        <w:rPr>
          <w:rFonts w:hint="eastAsia" w:ascii="仿宋_GB2312" w:hAnsi="仿宋_GB2312" w:cs="仿宋_GB2312"/>
          <w:bCs/>
          <w:sz w:val="30"/>
          <w:szCs w:val="30"/>
        </w:rPr>
        <w:t>万元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以内</w:t>
      </w:r>
      <w:r>
        <w:rPr>
          <w:rFonts w:hint="eastAsia" w:ascii="仿宋_GB2312" w:hAnsi="仿宋_GB2312" w:cs="仿宋_GB2312"/>
          <w:bCs/>
          <w:sz w:val="30"/>
          <w:szCs w:val="30"/>
        </w:rPr>
        <w:t>，完成本单位正常工作和区政府重点工作，确保干部职工工资福利发放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cs="仿宋_GB2312"/>
          <w:bCs/>
          <w:sz w:val="30"/>
          <w:szCs w:val="30"/>
        </w:rPr>
        <w:t>合法开支，在政策允许的范围内使用工作经费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b/>
          <w:sz w:val="30"/>
          <w:szCs w:val="30"/>
          <w:lang w:eastAsia="zh-CN"/>
        </w:rPr>
        <w:t>绩效自评得分情况及绩效等级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/>
          <w:sz w:val="30"/>
          <w:szCs w:val="30"/>
          <w:lang w:val="en-US" w:eastAsia="zh-CN"/>
        </w:rPr>
        <w:t>2018年本单位绩效自评得分94分，绩效等级为忧</w:t>
      </w:r>
    </w:p>
    <w:p>
      <w:pPr>
        <w:numPr>
          <w:ilvl w:val="0"/>
          <w:numId w:val="2"/>
        </w:numPr>
        <w:spacing w:line="520" w:lineRule="exact"/>
        <w:ind w:left="0" w:leftChars="0" w:firstLine="584" w:firstLineChars="200"/>
        <w:jc w:val="left"/>
        <w:rPr>
          <w:rFonts w:hint="eastAsia"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b/>
          <w:sz w:val="30"/>
          <w:szCs w:val="30"/>
          <w:lang w:eastAsia="zh-CN"/>
        </w:rPr>
        <w:t>存在</w:t>
      </w:r>
      <w:r>
        <w:rPr>
          <w:rFonts w:hint="eastAsia" w:ascii="仿宋_GB2312" w:hAnsi="仿宋_GB2312" w:cs="仿宋_GB2312"/>
          <w:b/>
          <w:sz w:val="30"/>
          <w:szCs w:val="30"/>
        </w:rPr>
        <w:t>的问题</w:t>
      </w:r>
    </w:p>
    <w:p>
      <w:pPr>
        <w:numPr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1、实际支出的公用经费大于预算支出的公用经费，主要原因是本单位承担的全区性工作量大，预算外支出多。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cs="仿宋_GB2312"/>
          <w:bCs/>
          <w:sz w:val="30"/>
          <w:szCs w:val="30"/>
          <w:lang w:eastAsia="zh-CN"/>
        </w:rPr>
        <w:t>实际政府采购金额大于政府采购预算数，主要原因是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2018年新成立了企业用工服务中心，需采购的固定资产年初未做入预算</w:t>
      </w:r>
      <w:r>
        <w:rPr>
          <w:rFonts w:hint="eastAsia" w:ascii="仿宋_GB2312" w:hAnsi="仿宋_GB2312" w:cs="仿宋_GB2312"/>
          <w:bCs/>
          <w:sz w:val="30"/>
          <w:szCs w:val="30"/>
        </w:rPr>
        <w:t>；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b/>
          <w:sz w:val="30"/>
          <w:szCs w:val="30"/>
          <w:lang w:eastAsia="zh-CN"/>
        </w:rPr>
        <w:t>六、改进措施和有关建议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b w:val="0"/>
          <w:bCs/>
          <w:sz w:val="30"/>
          <w:szCs w:val="30"/>
          <w:lang w:eastAsia="zh-CN"/>
        </w:rPr>
        <w:t>贯彻落实节约制度，尽力压缩支出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/>
          <w:sz w:val="30"/>
          <w:szCs w:val="30"/>
          <w:lang w:eastAsia="zh-CN"/>
        </w:rPr>
        <w:t>，将节约开支作为一项制度来执行，确保国有资产用之有度、用之有效、用之有方。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 xml:space="preserve">                         冷水滩区人力资源和社会保障局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 xml:space="preserve">                                201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cs="仿宋_GB2312"/>
          <w:bCs/>
          <w:sz w:val="30"/>
          <w:szCs w:val="30"/>
        </w:rPr>
        <w:t>年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bCs/>
          <w:sz w:val="30"/>
          <w:szCs w:val="30"/>
        </w:rPr>
        <w:t>日</w:t>
      </w:r>
    </w:p>
    <w:p>
      <w:pPr>
        <w:spacing w:line="520" w:lineRule="exact"/>
        <w:ind w:firstLine="584" w:firstLineChars="200"/>
        <w:jc w:val="left"/>
        <w:rPr>
          <w:rFonts w:hint="eastAsia" w:ascii="仿宋_GB2312" w:hAnsi="仿宋_GB2312" w:cs="仿宋_GB2312"/>
          <w:bCs/>
          <w:sz w:val="30"/>
          <w:szCs w:val="30"/>
        </w:rPr>
      </w:pPr>
    </w:p>
    <w:p/>
    <w:sectPr>
      <w:pgSz w:w="11907" w:h="16840"/>
      <w:pgMar w:top="2098" w:right="1588" w:bottom="2098" w:left="1588" w:header="1701" w:footer="1701" w:gutter="0"/>
      <w:cols w:space="720" w:num="1"/>
      <w:docGrid w:type="linesAndChar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A2297"/>
    <w:multiLevelType w:val="singleLevel"/>
    <w:tmpl w:val="C75A229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13B80"/>
    <w:multiLevelType w:val="singleLevel"/>
    <w:tmpl w:val="5A713B8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06DF"/>
    <w:rsid w:val="000517B0"/>
    <w:rsid w:val="1D551774"/>
    <w:rsid w:val="46A906DF"/>
    <w:rsid w:val="5C9B4DBE"/>
    <w:rsid w:val="6CC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2019-03-05T06:42:00Z</dcterms:created>
  <dc:creator>Administrator</dc:creator>
  <cp:lastModifiedBy>Administrator</cp:lastModifiedBy>
  <dcterms:modified xsi:type="dcterms:W3CDTF">2019-03-06T02:56:06Z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