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sz w:val="36"/>
          <w:szCs w:val="36"/>
          <w:lang w:eastAsia="zh-CN"/>
        </w:rPr>
      </w:pPr>
    </w:p>
    <w:p>
      <w:pPr>
        <w:jc w:val="center"/>
        <w:rPr>
          <w:rFonts w:eastAsia="方正小标宋简体"/>
          <w:sz w:val="36"/>
          <w:szCs w:val="36"/>
        </w:rPr>
      </w:pPr>
      <w:r>
        <w:rPr>
          <w:rFonts w:hint="eastAsia" w:ascii="方正小标宋简体" w:eastAsia="方正小标宋简体"/>
          <w:color w:val="000000"/>
          <w:sz w:val="36"/>
          <w:szCs w:val="36"/>
          <w:lang w:eastAsia="zh-CN"/>
        </w:rPr>
        <w:t>区机关事务服务中心</w:t>
      </w:r>
      <w:r>
        <w:rPr>
          <w:rFonts w:hint="eastAsia" w:ascii="方正小标宋简体" w:eastAsia="方正小标宋简体"/>
          <w:color w:val="000000"/>
          <w:sz w:val="36"/>
          <w:szCs w:val="36"/>
        </w:rPr>
        <w:t>2018</w:t>
      </w:r>
      <w:r>
        <w:rPr>
          <w:rFonts w:eastAsia="方正小标宋简体"/>
          <w:sz w:val="36"/>
          <w:szCs w:val="36"/>
        </w:rPr>
        <w:t>年度部门整体支出绩效</w:t>
      </w:r>
    </w:p>
    <w:p>
      <w:pPr>
        <w:jc w:val="center"/>
        <w:rPr>
          <w:rFonts w:eastAsia="方正小标宋简体"/>
          <w:sz w:val="36"/>
          <w:szCs w:val="36"/>
        </w:rPr>
      </w:pPr>
      <w:r>
        <w:rPr>
          <w:rFonts w:eastAsia="方正小标宋简体"/>
          <w:sz w:val="36"/>
          <w:szCs w:val="36"/>
        </w:rPr>
        <w:t>自</w:t>
      </w:r>
      <w:r>
        <w:rPr>
          <w:rFonts w:hint="eastAsia" w:eastAsia="方正小标宋简体"/>
          <w:sz w:val="36"/>
          <w:szCs w:val="36"/>
          <w:lang w:val="en-US" w:eastAsia="zh-CN"/>
        </w:rPr>
        <w:t xml:space="preserve"> </w:t>
      </w:r>
      <w:r>
        <w:rPr>
          <w:rFonts w:eastAsia="方正小标宋简体"/>
          <w:sz w:val="36"/>
          <w:szCs w:val="36"/>
        </w:rPr>
        <w:t>评</w:t>
      </w:r>
      <w:r>
        <w:rPr>
          <w:rFonts w:hint="eastAsia" w:eastAsia="方正小标宋简体"/>
          <w:sz w:val="36"/>
          <w:szCs w:val="36"/>
          <w:lang w:val="en-US" w:eastAsia="zh-CN"/>
        </w:rPr>
        <w:t xml:space="preserve"> </w:t>
      </w:r>
      <w:r>
        <w:rPr>
          <w:rFonts w:eastAsia="方正小标宋简体"/>
          <w:sz w:val="36"/>
          <w:szCs w:val="36"/>
        </w:rPr>
        <w:t>报</w:t>
      </w:r>
      <w:r>
        <w:rPr>
          <w:rFonts w:hint="eastAsia" w:eastAsia="方正小标宋简体"/>
          <w:sz w:val="36"/>
          <w:szCs w:val="36"/>
          <w:lang w:val="en-US" w:eastAsia="zh-CN"/>
        </w:rPr>
        <w:t xml:space="preserve"> </w:t>
      </w:r>
      <w:r>
        <w:rPr>
          <w:rFonts w:eastAsia="方正小标宋简体"/>
          <w:sz w:val="36"/>
          <w:szCs w:val="36"/>
        </w:rPr>
        <w:t>告</w:t>
      </w:r>
    </w:p>
    <w:p>
      <w:pPr>
        <w:ind w:firstLine="420" w:firstLineChars="200"/>
        <w:jc w:val="center"/>
      </w:pPr>
    </w:p>
    <w:p>
      <w:pPr>
        <w:ind w:firstLine="643" w:firstLineChars="200"/>
        <w:rPr>
          <w:rFonts w:ascii="宋体" w:hAnsi="宋体"/>
          <w:b/>
          <w:sz w:val="32"/>
          <w:szCs w:val="32"/>
        </w:rPr>
      </w:pPr>
      <w:r>
        <w:rPr>
          <w:rFonts w:ascii="宋体" w:hAnsi="宋体"/>
          <w:b/>
          <w:sz w:val="32"/>
          <w:szCs w:val="32"/>
        </w:rPr>
        <w:t>一、部门概况</w:t>
      </w:r>
    </w:p>
    <w:p>
      <w:pPr>
        <w:spacing w:line="5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部门基本情况</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（一）机构设置：办公室、财务室、保卫股、水电股、环卫股、公务车服务管理</w:t>
      </w:r>
      <w:r>
        <w:rPr>
          <w:rFonts w:hint="eastAsia" w:ascii="宋体" w:hAnsi="宋体" w:eastAsia="宋体" w:cs="宋体"/>
          <w:sz w:val="32"/>
          <w:szCs w:val="32"/>
          <w:lang w:eastAsia="zh-CN"/>
        </w:rPr>
        <w:t>中心</w:t>
      </w:r>
      <w:r>
        <w:rPr>
          <w:rFonts w:hint="eastAsia" w:ascii="宋体" w:hAnsi="宋体" w:eastAsia="宋体" w:cs="宋体"/>
          <w:sz w:val="32"/>
          <w:szCs w:val="32"/>
        </w:rPr>
        <w:t>、物业管理股。</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（二）人员编制情况：编制人数59人，在职人数56人，离退休人数10人。在职人员正科级2人，副科级4人。</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（三）车辆编制情况：车辆编制数为0辆，实有公务用车0辆。</w:t>
      </w:r>
    </w:p>
    <w:p>
      <w:pPr>
        <w:ind w:firstLine="964" w:firstLineChars="300"/>
        <w:rPr>
          <w:rFonts w:hint="eastAsia" w:ascii="宋体" w:hAnsi="宋体" w:eastAsia="宋体" w:cs="宋体"/>
          <w:b/>
          <w:bCs/>
          <w:color w:val="auto"/>
          <w:sz w:val="32"/>
          <w:szCs w:val="32"/>
        </w:rPr>
      </w:pPr>
      <w:r>
        <w:rPr>
          <w:rFonts w:hint="eastAsia" w:ascii="宋体" w:hAnsi="宋体" w:eastAsia="宋体" w:cs="宋体"/>
          <w:b/>
          <w:bCs/>
          <w:color w:val="auto"/>
          <w:sz w:val="32"/>
          <w:szCs w:val="32"/>
        </w:rPr>
        <w:t>2018年的重点工作</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（一）负责区行政中心国有资产的管理工作。</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（二）负责区行政中心的正常供水、供电及安全监督检查有服务工作。</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（三）负责区行政中心的安全保卫、消防、社会综合治理及行政中心区域的交通安全等工作。</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（四）负责区行政中心的基建、绿化、美化、环境保护的规范设置及组织实施工作和机关卫生管理工作。</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（五）负责区级大型活动及重要会议的会务及后勤保障工作。</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（六）负责锦苑小区及河东生活区的物业管理工作。</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（七）负责区委、区人大、区政府、区政协交办的其它工作事项。</w:t>
      </w:r>
    </w:p>
    <w:p>
      <w:pPr>
        <w:numPr>
          <w:ilvl w:val="0"/>
          <w:numId w:val="0"/>
        </w:numPr>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rPr>
        <w:t>部门整体支出情况</w:t>
      </w:r>
      <w:r>
        <w:rPr>
          <w:rFonts w:hint="eastAsia" w:ascii="宋体" w:hAnsi="宋体" w:eastAsia="宋体" w:cs="宋体"/>
          <w:b/>
          <w:bCs/>
          <w:sz w:val="32"/>
          <w:szCs w:val="32"/>
          <w:lang w:val="en-US" w:eastAsia="zh-CN"/>
        </w:rPr>
        <w:t>:</w:t>
      </w:r>
      <w:r>
        <w:rPr>
          <w:rFonts w:hint="eastAsia" w:ascii="宋体" w:hAnsi="宋体" w:eastAsia="宋体" w:cs="宋体"/>
          <w:b w:val="0"/>
          <w:bCs w:val="0"/>
          <w:sz w:val="32"/>
          <w:szCs w:val="32"/>
          <w:lang w:eastAsia="zh-CN"/>
        </w:rPr>
        <w:t>全年收入合计</w:t>
      </w:r>
      <w:r>
        <w:rPr>
          <w:rFonts w:hint="eastAsia" w:ascii="宋体" w:hAnsi="宋体" w:eastAsia="宋体" w:cs="宋体"/>
          <w:b w:val="0"/>
          <w:bCs w:val="0"/>
          <w:sz w:val="32"/>
          <w:szCs w:val="32"/>
          <w:lang w:val="en-US" w:eastAsia="zh-CN"/>
        </w:rPr>
        <w:t>1645.62</w:t>
      </w:r>
      <w:r>
        <w:rPr>
          <w:rFonts w:hint="eastAsia" w:ascii="宋体" w:hAnsi="宋体" w:eastAsia="宋体" w:cs="宋体"/>
          <w:b w:val="0"/>
          <w:bCs w:val="0"/>
          <w:sz w:val="32"/>
          <w:szCs w:val="32"/>
          <w:lang w:eastAsia="zh-CN"/>
        </w:rPr>
        <w:t>万元。其中：财政拨款收入</w:t>
      </w:r>
      <w:r>
        <w:rPr>
          <w:rFonts w:hint="eastAsia" w:ascii="宋体" w:hAnsi="宋体" w:eastAsia="宋体" w:cs="宋体"/>
          <w:b w:val="0"/>
          <w:bCs w:val="0"/>
          <w:sz w:val="32"/>
          <w:szCs w:val="32"/>
          <w:lang w:val="en-US" w:eastAsia="zh-CN"/>
        </w:rPr>
        <w:t>1645.62</w:t>
      </w:r>
      <w:r>
        <w:rPr>
          <w:rFonts w:hint="eastAsia" w:ascii="宋体" w:hAnsi="宋体" w:eastAsia="宋体" w:cs="宋体"/>
          <w:b w:val="0"/>
          <w:bCs w:val="0"/>
          <w:sz w:val="32"/>
          <w:szCs w:val="32"/>
          <w:lang w:eastAsia="zh-CN"/>
        </w:rPr>
        <w:t>万元，占比 100%。</w:t>
      </w: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firstLine="640" w:firstLineChars="200"/>
        <w:textAlignment w:val="auto"/>
        <w:outlineLvl w:val="9"/>
        <w:rPr>
          <w:rFonts w:hint="eastAsia" w:ascii="宋体" w:hAnsi="宋体" w:eastAsia="宋体" w:cs="宋体"/>
          <w:b/>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b/>
          <w:sz w:val="32"/>
          <w:szCs w:val="32"/>
        </w:rPr>
        <w:t>二、部门整体支出管理及使用情况</w:t>
      </w: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firstLine="640" w:firstLineChars="200"/>
        <w:textAlignment w:val="auto"/>
        <w:outlineLvl w:val="9"/>
        <w:rPr>
          <w:rFonts w:hint="eastAsia" w:ascii="宋体" w:hAnsi="宋体" w:eastAsia="宋体" w:cs="宋体"/>
          <w:b w:val="0"/>
          <w:bCs w:val="0"/>
          <w:sz w:val="32"/>
          <w:szCs w:val="32"/>
          <w:lang w:eastAsia="zh-CN"/>
        </w:rPr>
      </w:pPr>
      <w:r>
        <w:rPr>
          <w:rFonts w:hint="eastAsia" w:ascii="宋体" w:hAnsi="宋体" w:eastAsia="宋体" w:cs="宋体"/>
          <w:sz w:val="32"/>
          <w:szCs w:val="32"/>
          <w:lang w:val="en-US" w:eastAsia="zh-CN"/>
        </w:rPr>
        <w:t>区机关事服务中心</w:t>
      </w:r>
      <w:r>
        <w:rPr>
          <w:rFonts w:hint="eastAsia" w:ascii="宋体" w:hAnsi="宋体" w:eastAsia="宋体" w:cs="宋体"/>
          <w:b w:val="0"/>
          <w:bCs w:val="0"/>
          <w:sz w:val="32"/>
          <w:szCs w:val="32"/>
          <w:lang w:eastAsia="zh-CN"/>
        </w:rPr>
        <w:t>201</w:t>
      </w: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lang w:eastAsia="zh-CN"/>
        </w:rPr>
        <w:t>年收入总计</w:t>
      </w:r>
      <w:r>
        <w:rPr>
          <w:rFonts w:hint="eastAsia" w:ascii="宋体" w:hAnsi="宋体" w:eastAsia="宋体" w:cs="宋体"/>
          <w:b w:val="0"/>
          <w:bCs w:val="0"/>
          <w:sz w:val="32"/>
          <w:szCs w:val="32"/>
          <w:lang w:val="en-US" w:eastAsia="zh-CN"/>
        </w:rPr>
        <w:t>1645.62</w:t>
      </w:r>
      <w:r>
        <w:rPr>
          <w:rFonts w:hint="eastAsia" w:ascii="宋体" w:hAnsi="宋体" w:eastAsia="宋体" w:cs="宋体"/>
          <w:b w:val="0"/>
          <w:bCs w:val="0"/>
          <w:sz w:val="32"/>
          <w:szCs w:val="32"/>
          <w:lang w:eastAsia="zh-CN"/>
        </w:rPr>
        <w:t>万元（含以前年度结转和结余资金0万元），支出总计</w:t>
      </w:r>
      <w:r>
        <w:rPr>
          <w:rFonts w:hint="eastAsia" w:ascii="宋体" w:hAnsi="宋体" w:eastAsia="宋体" w:cs="宋体"/>
          <w:b w:val="0"/>
          <w:bCs w:val="0"/>
          <w:sz w:val="32"/>
          <w:szCs w:val="32"/>
          <w:lang w:val="en-US" w:eastAsia="zh-CN"/>
        </w:rPr>
        <w:t>1645.62</w:t>
      </w:r>
      <w:r>
        <w:rPr>
          <w:rFonts w:hint="eastAsia" w:ascii="宋体" w:hAnsi="宋体" w:eastAsia="宋体" w:cs="宋体"/>
          <w:b w:val="0"/>
          <w:bCs w:val="0"/>
          <w:sz w:val="32"/>
          <w:szCs w:val="32"/>
          <w:lang w:eastAsia="zh-CN"/>
        </w:rPr>
        <w:t>万元（含年末结转和结 余资金0万元），与201</w:t>
      </w:r>
      <w:r>
        <w:rPr>
          <w:rFonts w:hint="eastAsia" w:ascii="宋体" w:hAnsi="宋体" w:eastAsia="宋体" w:cs="宋体"/>
          <w:b w:val="0"/>
          <w:bCs w:val="0"/>
          <w:sz w:val="32"/>
          <w:szCs w:val="32"/>
          <w:lang w:val="en-US" w:eastAsia="zh-CN"/>
        </w:rPr>
        <w:t>7收支</w:t>
      </w:r>
      <w:r>
        <w:rPr>
          <w:rFonts w:hint="eastAsia" w:ascii="宋体" w:hAnsi="宋体" w:eastAsia="宋体" w:cs="宋体"/>
          <w:sz w:val="32"/>
          <w:szCs w:val="32"/>
        </w:rPr>
        <w:t>116</w:t>
      </w:r>
      <w:r>
        <w:rPr>
          <w:rFonts w:hint="eastAsia" w:ascii="宋体" w:hAnsi="宋体" w:eastAsia="宋体" w:cs="宋体"/>
          <w:sz w:val="32"/>
          <w:szCs w:val="32"/>
          <w:lang w:val="en-US" w:eastAsia="zh-CN"/>
        </w:rPr>
        <w:t>0.22</w:t>
      </w:r>
      <w:r>
        <w:rPr>
          <w:rFonts w:hint="eastAsia" w:ascii="宋体" w:hAnsi="宋体" w:eastAsia="宋体" w:cs="宋体"/>
          <w:b w:val="0"/>
          <w:bCs w:val="0"/>
          <w:sz w:val="32"/>
          <w:szCs w:val="32"/>
          <w:lang w:val="en-US" w:eastAsia="zh-CN"/>
        </w:rPr>
        <w:t>万元</w:t>
      </w:r>
      <w:r>
        <w:rPr>
          <w:rFonts w:hint="eastAsia" w:ascii="宋体" w:hAnsi="宋体" w:eastAsia="宋体" w:cs="宋体"/>
          <w:b w:val="0"/>
          <w:bCs w:val="0"/>
          <w:sz w:val="32"/>
          <w:szCs w:val="32"/>
          <w:lang w:eastAsia="zh-CN"/>
        </w:rPr>
        <w:t>年相比，收、支总计各增加</w:t>
      </w:r>
      <w:r>
        <w:rPr>
          <w:rFonts w:hint="eastAsia" w:ascii="宋体" w:hAnsi="宋体" w:eastAsia="宋体" w:cs="宋体"/>
          <w:b w:val="0"/>
          <w:bCs w:val="0"/>
          <w:color w:val="auto"/>
          <w:sz w:val="32"/>
          <w:szCs w:val="32"/>
          <w:lang w:val="en-US" w:eastAsia="zh-CN"/>
        </w:rPr>
        <w:t>485.4</w:t>
      </w:r>
      <w:r>
        <w:rPr>
          <w:rFonts w:hint="eastAsia" w:ascii="宋体" w:hAnsi="宋体" w:eastAsia="宋体" w:cs="宋体"/>
          <w:b w:val="0"/>
          <w:bCs w:val="0"/>
          <w:sz w:val="32"/>
          <w:szCs w:val="32"/>
          <w:lang w:eastAsia="zh-CN"/>
        </w:rPr>
        <w:t>万元，增幅</w:t>
      </w:r>
      <w:r>
        <w:rPr>
          <w:rFonts w:hint="eastAsia" w:ascii="宋体" w:hAnsi="宋体" w:cs="宋体"/>
          <w:b w:val="0"/>
          <w:bCs w:val="0"/>
          <w:color w:val="auto"/>
          <w:sz w:val="32"/>
          <w:szCs w:val="32"/>
          <w:lang w:val="en-US" w:eastAsia="zh-CN"/>
        </w:rPr>
        <w:t>41.83</w:t>
      </w:r>
      <w:r>
        <w:rPr>
          <w:rFonts w:hint="eastAsia" w:ascii="宋体" w:hAnsi="宋体" w:eastAsia="宋体" w:cs="宋体"/>
          <w:b w:val="0"/>
          <w:bCs w:val="0"/>
          <w:sz w:val="32"/>
          <w:szCs w:val="32"/>
          <w:lang w:eastAsia="zh-CN"/>
        </w:rPr>
        <w:t xml:space="preserve"> %。主要原因是工资增加、</w:t>
      </w:r>
      <w:r>
        <w:rPr>
          <w:rFonts w:hint="eastAsia" w:ascii="宋体" w:hAnsi="宋体" w:eastAsia="宋体" w:cs="宋体"/>
          <w:sz w:val="32"/>
          <w:szCs w:val="32"/>
        </w:rPr>
        <w:t>公务车服务管理</w:t>
      </w:r>
      <w:r>
        <w:rPr>
          <w:rFonts w:hint="eastAsia" w:ascii="宋体" w:hAnsi="宋体" w:eastAsia="宋体" w:cs="宋体"/>
          <w:sz w:val="32"/>
          <w:szCs w:val="32"/>
          <w:lang w:eastAsia="zh-CN"/>
        </w:rPr>
        <w:t>中心车辆运行费用增加</w:t>
      </w:r>
      <w:r>
        <w:rPr>
          <w:rFonts w:hint="eastAsia" w:ascii="宋体" w:hAnsi="宋体" w:eastAsia="宋体" w:cs="宋体"/>
          <w:b w:val="0"/>
          <w:bCs w:val="0"/>
          <w:sz w:val="32"/>
          <w:szCs w:val="32"/>
          <w:lang w:eastAsia="zh-CN"/>
        </w:rPr>
        <w:t>。</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（一）基本支出情况。</w:t>
      </w:r>
    </w:p>
    <w:p>
      <w:pPr>
        <w:ind w:firstLine="960" w:firstLineChars="30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eastAsia="宋体" w:cs="宋体"/>
          <w:sz w:val="32"/>
          <w:szCs w:val="32"/>
          <w:lang w:val="en-US" w:eastAsia="zh-CN"/>
        </w:rPr>
        <w:t>8</w:t>
      </w:r>
      <w:r>
        <w:rPr>
          <w:rFonts w:hint="eastAsia" w:ascii="宋体" w:hAnsi="宋体" w:eastAsia="宋体" w:cs="宋体"/>
          <w:sz w:val="32"/>
          <w:szCs w:val="32"/>
        </w:rPr>
        <w:t>年财政拨款收入为</w:t>
      </w:r>
      <w:r>
        <w:rPr>
          <w:rFonts w:hint="eastAsia" w:ascii="宋体" w:hAnsi="宋体" w:eastAsia="宋体" w:cs="宋体"/>
          <w:sz w:val="32"/>
          <w:szCs w:val="32"/>
          <w:lang w:val="en-US" w:eastAsia="zh-CN"/>
        </w:rPr>
        <w:t>1645.62</w:t>
      </w:r>
      <w:r>
        <w:rPr>
          <w:rFonts w:hint="eastAsia" w:ascii="宋体" w:hAnsi="宋体" w:eastAsia="宋体" w:cs="宋体"/>
          <w:sz w:val="32"/>
          <w:szCs w:val="32"/>
        </w:rPr>
        <w:t>万元，支出总金额为</w:t>
      </w:r>
      <w:r>
        <w:rPr>
          <w:rFonts w:hint="eastAsia" w:ascii="宋体" w:hAnsi="宋体" w:eastAsia="宋体" w:cs="宋体"/>
          <w:sz w:val="32"/>
          <w:szCs w:val="32"/>
          <w:lang w:val="en-US" w:eastAsia="zh-CN"/>
        </w:rPr>
        <w:t>1645.62</w:t>
      </w:r>
      <w:r>
        <w:rPr>
          <w:rFonts w:hint="eastAsia" w:ascii="宋体" w:hAnsi="宋体" w:eastAsia="宋体" w:cs="宋体"/>
          <w:sz w:val="32"/>
          <w:szCs w:val="32"/>
        </w:rPr>
        <w:t>万元，其中基本支出为</w:t>
      </w:r>
      <w:r>
        <w:rPr>
          <w:rFonts w:hint="eastAsia" w:ascii="宋体" w:hAnsi="宋体" w:eastAsia="宋体" w:cs="宋体"/>
          <w:sz w:val="32"/>
          <w:szCs w:val="32"/>
          <w:lang w:val="en-US" w:eastAsia="zh-CN"/>
        </w:rPr>
        <w:t>1645.62</w:t>
      </w:r>
      <w:r>
        <w:rPr>
          <w:rFonts w:hint="eastAsia" w:ascii="宋体" w:hAnsi="宋体" w:eastAsia="宋体" w:cs="宋体"/>
          <w:sz w:val="32"/>
          <w:szCs w:val="32"/>
        </w:rPr>
        <w:t>万元，包含人员经费</w:t>
      </w:r>
      <w:r>
        <w:rPr>
          <w:rFonts w:hint="eastAsia" w:ascii="宋体" w:hAnsi="宋体" w:eastAsia="宋体" w:cs="宋体"/>
          <w:sz w:val="32"/>
          <w:szCs w:val="32"/>
          <w:lang w:val="en-US" w:eastAsia="zh-CN"/>
        </w:rPr>
        <w:t>668.4</w:t>
      </w:r>
      <w:r>
        <w:rPr>
          <w:rFonts w:hint="eastAsia" w:ascii="宋体" w:hAnsi="宋体" w:eastAsia="宋体" w:cs="宋体"/>
          <w:sz w:val="32"/>
          <w:szCs w:val="32"/>
        </w:rPr>
        <w:t>万元，日常公用经费</w:t>
      </w:r>
      <w:r>
        <w:rPr>
          <w:rFonts w:hint="eastAsia" w:ascii="宋体" w:hAnsi="宋体" w:eastAsia="宋体" w:cs="宋体"/>
          <w:sz w:val="32"/>
          <w:szCs w:val="32"/>
          <w:lang w:val="en-US" w:eastAsia="zh-CN"/>
        </w:rPr>
        <w:t>977.22</w:t>
      </w:r>
      <w:r>
        <w:rPr>
          <w:rFonts w:hint="eastAsia" w:ascii="宋体" w:hAnsi="宋体" w:eastAsia="宋体" w:cs="宋体"/>
          <w:sz w:val="32"/>
          <w:szCs w:val="32"/>
        </w:rPr>
        <w:t>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）“三公”经费情况</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本单位 “三公”经费支出情况，“三公”经费预算安排：因公出国出境费0万元，公务接待预算费</w:t>
      </w:r>
      <w:r>
        <w:rPr>
          <w:rFonts w:hint="eastAsia" w:ascii="宋体" w:hAnsi="宋体" w:eastAsia="宋体" w:cs="宋体"/>
          <w:sz w:val="32"/>
          <w:szCs w:val="32"/>
          <w:lang w:val="en-US" w:eastAsia="zh-CN"/>
        </w:rPr>
        <w:t>6</w:t>
      </w:r>
      <w:r>
        <w:rPr>
          <w:rFonts w:hint="eastAsia" w:ascii="宋体" w:hAnsi="宋体" w:cs="宋体"/>
          <w:sz w:val="32"/>
          <w:szCs w:val="32"/>
          <w:lang w:val="en-US" w:eastAsia="zh-CN"/>
        </w:rPr>
        <w:t>.8</w:t>
      </w:r>
      <w:r>
        <w:rPr>
          <w:rFonts w:hint="eastAsia" w:ascii="宋体" w:hAnsi="宋体" w:eastAsia="宋体" w:cs="宋体"/>
          <w:sz w:val="32"/>
          <w:szCs w:val="32"/>
        </w:rPr>
        <w:t>万元，实际接待费</w:t>
      </w:r>
      <w:r>
        <w:rPr>
          <w:rFonts w:hint="eastAsia" w:ascii="宋体" w:hAnsi="宋体" w:eastAsia="宋体" w:cs="宋体"/>
          <w:sz w:val="32"/>
          <w:szCs w:val="32"/>
          <w:lang w:val="en-US" w:eastAsia="zh-CN"/>
        </w:rPr>
        <w:t>1.34</w:t>
      </w:r>
      <w:r>
        <w:rPr>
          <w:rFonts w:hint="eastAsia" w:ascii="宋体" w:hAnsi="宋体" w:eastAsia="宋体" w:cs="宋体"/>
          <w:sz w:val="32"/>
          <w:szCs w:val="32"/>
        </w:rPr>
        <w:t>万元，公务用车购置及运行费</w:t>
      </w:r>
      <w:r>
        <w:rPr>
          <w:rFonts w:hint="eastAsia" w:ascii="宋体" w:hAnsi="宋体" w:cs="宋体"/>
          <w:sz w:val="32"/>
          <w:szCs w:val="32"/>
          <w:lang w:val="en-US" w:eastAsia="zh-CN"/>
        </w:rPr>
        <w:t>230.28</w:t>
      </w:r>
      <w:r>
        <w:rPr>
          <w:rFonts w:hint="eastAsia" w:ascii="宋体" w:hAnsi="宋体" w:eastAsia="宋体" w:cs="宋体"/>
          <w:sz w:val="32"/>
          <w:szCs w:val="32"/>
        </w:rPr>
        <w:t>万元（其中公务用车购置0万元、公务用车运行维护费</w:t>
      </w:r>
      <w:r>
        <w:rPr>
          <w:rFonts w:hint="eastAsia" w:ascii="宋体" w:hAnsi="宋体" w:cs="宋体"/>
          <w:sz w:val="32"/>
          <w:szCs w:val="32"/>
          <w:lang w:val="en-US" w:eastAsia="zh-CN"/>
        </w:rPr>
        <w:t>230.28</w:t>
      </w:r>
      <w:r>
        <w:rPr>
          <w:rFonts w:hint="eastAsia" w:ascii="宋体" w:hAnsi="宋体" w:eastAsia="宋体" w:cs="宋体"/>
          <w:sz w:val="32"/>
          <w:szCs w:val="32"/>
        </w:rPr>
        <w:t>万元）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 xml:space="preserve"> </w:t>
      </w:r>
      <w:r>
        <w:rPr>
          <w:rFonts w:hint="eastAsia" w:ascii="宋体" w:hAnsi="宋体" w:eastAsia="宋体" w:cs="宋体"/>
          <w:b/>
          <w:bCs/>
          <w:sz w:val="32"/>
          <w:szCs w:val="32"/>
          <w:shd w:val="clear" w:color="auto" w:fill="FFFFFF"/>
        </w:rPr>
        <w:t>三、部门整体支出管理情况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84" w:firstLineChars="0"/>
        <w:jc w:val="left"/>
        <w:textAlignment w:val="auto"/>
        <w:outlineLvl w:val="9"/>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（一）本单位严格按照财政局的要求进行财务管理、决算组织、编报、审核。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84" w:firstLineChars="0"/>
        <w:jc w:val="left"/>
        <w:textAlignment w:val="auto"/>
        <w:outlineLvl w:val="9"/>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（二）本单位严格执行财政局决算公开、按照主管部门的规定、批复进行决算工作开展。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84" w:firstLineChars="0"/>
        <w:jc w:val="left"/>
        <w:textAlignment w:val="auto"/>
        <w:outlineLvl w:val="9"/>
        <w:rPr>
          <w:rFonts w:hint="eastAsia" w:ascii="宋体" w:hAnsi="宋体" w:eastAsia="宋体" w:cs="宋体"/>
          <w:b/>
          <w:sz w:val="32"/>
          <w:szCs w:val="32"/>
        </w:rPr>
      </w:pPr>
      <w:r>
        <w:rPr>
          <w:rFonts w:hint="eastAsia" w:ascii="宋体" w:hAnsi="宋体" w:eastAsia="宋体" w:cs="宋体"/>
          <w:b/>
          <w:sz w:val="32"/>
          <w:szCs w:val="32"/>
        </w:rPr>
        <w:t>四、存在的问题</w:t>
      </w:r>
      <w:r>
        <w:rPr>
          <w:rFonts w:hint="eastAsia" w:ascii="宋体" w:hAnsi="宋体" w:eastAsia="宋体" w:cs="宋体"/>
          <w:b/>
          <w:sz w:val="32"/>
          <w:szCs w:val="32"/>
          <w:lang w:eastAsia="zh-CN"/>
        </w:rPr>
        <w:t>；</w:t>
      </w:r>
      <w:r>
        <w:rPr>
          <w:rFonts w:hint="eastAsia" w:ascii="宋体" w:hAnsi="宋体" w:eastAsia="宋体" w:cs="宋体"/>
          <w:b w:val="0"/>
          <w:i w:val="0"/>
          <w:caps w:val="0"/>
          <w:color w:val="000000"/>
          <w:spacing w:val="0"/>
          <w:sz w:val="32"/>
          <w:szCs w:val="32"/>
          <w:shd w:val="clear" w:color="auto" w:fill="FFFFFF"/>
        </w:rPr>
        <w:t>年初编制的预算不够精确，导致年内预算有所追加，预算控制率不理想，影响单位评分及评价等次。</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五、改进措施和有关建议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firstLine="640" w:firstLineChars="200"/>
        <w:jc w:val="both"/>
        <w:rPr>
          <w:rFonts w:hint="eastAsia" w:ascii="宋体" w:hAnsi="宋体" w:eastAsia="宋体" w:cs="宋体"/>
          <w:b w:val="0"/>
          <w:i w:val="0"/>
          <w:caps w:val="0"/>
          <w:color w:val="222222"/>
          <w:spacing w:val="0"/>
          <w:sz w:val="32"/>
          <w:szCs w:val="32"/>
        </w:rPr>
      </w:pPr>
      <w:r>
        <w:rPr>
          <w:rFonts w:hint="eastAsia" w:ascii="宋体" w:hAnsi="宋体" w:eastAsia="宋体" w:cs="宋体"/>
          <w:b w:val="0"/>
          <w:i w:val="0"/>
          <w:caps w:val="0"/>
          <w:color w:val="000000"/>
          <w:spacing w:val="0"/>
          <w:kern w:val="0"/>
          <w:sz w:val="32"/>
          <w:szCs w:val="32"/>
          <w:shd w:val="clear" w:color="auto" w:fill="FFFFFF"/>
          <w:lang w:val="en-US" w:eastAsia="zh-CN" w:bidi="ar"/>
        </w:rPr>
        <w:t>（一）建议加强政策学习，提高思想认识。组织单位人员认真学习《预算法》等相关法规、制度，提高单位领导对全面预算管理的重视程度，增强财务人员的预算意识，坚持先有预算、后有支出，没有预算不得支出的支出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firstLine="640" w:firstLineChars="200"/>
        <w:jc w:val="both"/>
        <w:rPr>
          <w:rFonts w:hint="eastAsia" w:ascii="宋体" w:hAnsi="宋体" w:eastAsia="宋体" w:cs="宋体"/>
          <w:b w:val="0"/>
          <w:i w:val="0"/>
          <w:caps w:val="0"/>
          <w:color w:val="000000"/>
          <w:spacing w:val="0"/>
          <w:kern w:val="0"/>
          <w:sz w:val="32"/>
          <w:szCs w:val="32"/>
          <w:shd w:val="clear" w:color="auto" w:fill="FFFFFF"/>
          <w:lang w:val="en-US" w:eastAsia="zh-CN" w:bidi="ar"/>
        </w:rPr>
      </w:pPr>
      <w:r>
        <w:rPr>
          <w:rFonts w:hint="eastAsia" w:ascii="宋体" w:hAnsi="宋体" w:eastAsia="宋体" w:cs="宋体"/>
          <w:b w:val="0"/>
          <w:i w:val="0"/>
          <w:caps w:val="0"/>
          <w:color w:val="000000"/>
          <w:spacing w:val="0"/>
          <w:kern w:val="0"/>
          <w:sz w:val="32"/>
          <w:szCs w:val="32"/>
          <w:shd w:val="clear" w:color="auto" w:fill="FFFFFF"/>
          <w:lang w:val="en-US" w:eastAsia="zh-CN" w:bidi="ar"/>
        </w:rPr>
        <w:t>（二）建议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firstLine="640" w:firstLineChars="200"/>
        <w:jc w:val="both"/>
        <w:rPr>
          <w:rFonts w:hint="eastAsia" w:ascii="宋体" w:hAnsi="宋体" w:eastAsia="宋体" w:cs="宋体"/>
          <w:sz w:val="32"/>
          <w:szCs w:val="32"/>
        </w:rPr>
      </w:pPr>
      <w:r>
        <w:rPr>
          <w:rFonts w:hint="eastAsia" w:ascii="宋体" w:hAnsi="宋体" w:eastAsia="宋体" w:cs="宋体"/>
          <w:b w:val="0"/>
          <w:i w:val="0"/>
          <w:caps w:val="0"/>
          <w:color w:val="000000"/>
          <w:spacing w:val="0"/>
          <w:kern w:val="0"/>
          <w:sz w:val="32"/>
          <w:szCs w:val="32"/>
          <w:shd w:val="clear" w:color="auto" w:fill="FFFFFF"/>
          <w:lang w:val="en-US" w:eastAsia="zh-CN" w:bidi="ar"/>
        </w:rPr>
        <w:t>（三）建议优化绩效评价指标计分标准，改善评价计分标准的不合理性，让评价结果更加公平公正。</w:t>
      </w:r>
    </w:p>
    <w:p>
      <w:pPr>
        <w:ind w:firstLine="640" w:firstLineChars="200"/>
        <w:rPr>
          <w:rFonts w:hint="eastAsia" w:ascii="宋体" w:hAnsi="宋体" w:eastAsia="宋体" w:cs="宋体"/>
          <w:sz w:val="32"/>
          <w:szCs w:val="32"/>
        </w:rPr>
      </w:pPr>
    </w:p>
    <w:p>
      <w:pPr>
        <w:spacing w:line="560" w:lineRule="exact"/>
        <w:rPr>
          <w:rFonts w:hint="eastAsia" w:ascii="仿宋_GB2312" w:eastAsia="仿宋_GB2312"/>
          <w:color w:val="000000"/>
          <w:sz w:val="32"/>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p>
    <w:p>
      <w:pPr>
        <w:widowControl/>
        <w:rPr>
          <w:rFonts w:hint="eastAsia" w:ascii="黑体" w:hAnsi="宋体" w:eastAsia="黑体" w:cs="宋体"/>
          <w:bCs/>
          <w:kern w:val="0"/>
          <w:sz w:val="32"/>
          <w:szCs w:val="32"/>
        </w:rPr>
      </w:pPr>
    </w:p>
    <w:p>
      <w:pPr>
        <w:spacing w:line="560" w:lineRule="exact"/>
        <w:jc w:val="center"/>
        <w:rPr>
          <w:rFonts w:hint="eastAsia" w:eastAsia="方正小标宋_GBK"/>
          <w:kern w:val="0"/>
          <w:sz w:val="44"/>
          <w:szCs w:val="44"/>
        </w:rPr>
      </w:pPr>
    </w:p>
    <w:p>
      <w:pPr>
        <w:spacing w:line="560" w:lineRule="exact"/>
        <w:jc w:val="center"/>
        <w:rPr>
          <w:rFonts w:hint="eastAsia" w:eastAsia="方正小标宋_GBK"/>
          <w:kern w:val="0"/>
          <w:sz w:val="44"/>
          <w:szCs w:val="44"/>
        </w:rPr>
      </w:pPr>
      <w:r>
        <w:rPr>
          <w:rFonts w:hint="eastAsia" w:eastAsia="方正小标宋_GBK"/>
          <w:kern w:val="0"/>
          <w:sz w:val="44"/>
          <w:szCs w:val="44"/>
        </w:rPr>
        <w:t>2018</w:t>
      </w:r>
      <w:r>
        <w:rPr>
          <w:rFonts w:hint="eastAsia" w:ascii="宋体" w:hAnsi="宋体" w:cs="宋体"/>
          <w:kern w:val="0"/>
          <w:sz w:val="44"/>
          <w:szCs w:val="44"/>
        </w:rPr>
        <w:t>年度</w:t>
      </w:r>
      <w:r>
        <w:rPr>
          <w:rFonts w:hint="eastAsia" w:eastAsia="方正小标宋_GBK"/>
          <w:kern w:val="0"/>
          <w:sz w:val="44"/>
          <w:szCs w:val="44"/>
        </w:rPr>
        <w:t>部门整体支出绩效评价表</w:t>
      </w:r>
    </w:p>
    <w:p>
      <w:pPr>
        <w:spacing w:line="560" w:lineRule="exact"/>
        <w:jc w:val="center"/>
        <w:rPr>
          <w:rFonts w:hint="eastAsia" w:eastAsia="方正小标宋_GBK"/>
          <w:kern w:val="0"/>
          <w:sz w:val="44"/>
          <w:szCs w:val="44"/>
        </w:rPr>
      </w:pPr>
    </w:p>
    <w:tbl>
      <w:tblPr>
        <w:tblStyle w:val="5"/>
        <w:tblW w:w="10600" w:type="dxa"/>
        <w:jc w:val="center"/>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tblPrEx>
          <w:tblCellMar>
            <w:top w:w="0" w:type="dxa"/>
            <w:left w:w="108" w:type="dxa"/>
            <w:bottom w:w="0" w:type="dxa"/>
            <w:right w:w="108" w:type="dxa"/>
          </w:tblCellMar>
        </w:tblPrEx>
        <w:trPr>
          <w:trHeight w:val="984" w:hRule="atLeast"/>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lang w:eastAsia="zh-CN"/>
              </w:rPr>
              <w:t>一</w:t>
            </w:r>
            <w:r>
              <w:rPr>
                <w:rFonts w:hint="eastAsia" w:eastAsia="仿宋_GB2312"/>
                <w:kern w:val="0"/>
                <w:sz w:val="20"/>
                <w:szCs w:val="20"/>
              </w:rPr>
              <w:t>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trHeight w:val="79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0</w:t>
            </w:r>
            <w:r>
              <w:rPr>
                <w:rFonts w:hint="eastAsia"/>
                <w:kern w:val="0"/>
                <w:sz w:val="24"/>
              </w:rPr>
              <w:t>　</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20"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rFonts w:hint="eastAsia"/>
                <w:kern w:val="0"/>
                <w:sz w:val="24"/>
              </w:rPr>
              <w:t>　</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0</w:t>
            </w:r>
            <w:r>
              <w:rPr>
                <w:rFonts w:hint="eastAsia"/>
                <w:kern w:val="0"/>
                <w:sz w:val="24"/>
              </w:rPr>
              <w:t>　</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780"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6</w:t>
            </w:r>
            <w:r>
              <w:rPr>
                <w:rFonts w:hint="eastAsia"/>
                <w:kern w:val="0"/>
                <w:sz w:val="24"/>
              </w:rPr>
              <w:t>　</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23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trHeight w:val="142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575" w:hRule="atLeast"/>
          <w:jc w:val="center"/>
        </w:trPr>
        <w:tc>
          <w:tcPr>
            <w:tcW w:w="1007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kern w:val="0"/>
                <w:sz w:val="20"/>
                <w:szCs w:val="20"/>
                <w:lang w:eastAsia="zh-CN"/>
              </w:rPr>
            </w:pPr>
            <w:r>
              <w:rPr>
                <w:rFonts w:hint="eastAsia" w:eastAsia="仿宋_GB2312"/>
                <w:kern w:val="0"/>
                <w:sz w:val="24"/>
                <w:szCs w:val="24"/>
                <w:lang w:eastAsia="zh-CN"/>
              </w:rPr>
              <w:t>合计得分</w:t>
            </w:r>
          </w:p>
        </w:tc>
        <w:tc>
          <w:tcPr>
            <w:tcW w:w="52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lang w:val="en-US" w:eastAsia="zh-CN"/>
              </w:rPr>
              <w:t>87</w:t>
            </w:r>
          </w:p>
        </w:tc>
      </w:tr>
    </w:tbl>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widowControl/>
        <w:ind w:left="91"/>
        <w:jc w:val="center"/>
        <w:rPr>
          <w:rFonts w:hint="eastAsia" w:ascii="方正小标宋简体" w:hAnsi="方正小标宋简体" w:eastAsia="方正小标宋简体" w:cs="方正小标宋简体"/>
          <w:kern w:val="0"/>
          <w:sz w:val="36"/>
          <w:szCs w:val="36"/>
        </w:rPr>
      </w:pPr>
    </w:p>
    <w:p>
      <w:pPr>
        <w:widowControl/>
        <w:ind w:left="91"/>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2018年度部门整体支出绩效评价基础数据表</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240" w:lineRule="exact"/>
        <w:ind w:left="91" w:leftChars="0" w:right="0" w:rightChars="0" w:firstLine="0" w:firstLineChars="0"/>
        <w:jc w:val="left"/>
        <w:textAlignment w:val="auto"/>
        <w:outlineLvl w:val="9"/>
        <w:rPr>
          <w:rFonts w:hint="eastAsia" w:ascii="方正小标宋简体" w:hAnsi="方正小标宋简体" w:eastAsia="方正小标宋简体" w:cs="方正小标宋简体"/>
          <w:kern w:val="0"/>
          <w:sz w:val="36"/>
          <w:szCs w:val="36"/>
          <w:vertAlign w:val="subscript"/>
        </w:rPr>
      </w:pPr>
    </w:p>
    <w:p>
      <w:pPr>
        <w:widowControl/>
        <w:tabs>
          <w:tab w:val="left" w:pos="3611"/>
          <w:tab w:val="left" w:pos="4791"/>
          <w:tab w:val="left" w:pos="5951"/>
          <w:tab w:val="left" w:pos="7071"/>
          <w:tab w:val="left" w:pos="8191"/>
          <w:tab w:val="left" w:pos="9311"/>
        </w:tabs>
        <w:ind w:left="91"/>
        <w:jc w:val="left"/>
        <w:rPr>
          <w:rFonts w:hint="eastAsia" w:ascii="仿宋_GB2312" w:eastAsia="仿宋_GB2312"/>
          <w:kern w:val="0"/>
          <w:sz w:val="24"/>
        </w:rPr>
      </w:pPr>
      <w:r>
        <w:rPr>
          <w:rFonts w:hint="eastAsia" w:ascii="仿宋_GB2312" w:eastAsia="仿宋_GB2312"/>
          <w:kern w:val="0"/>
          <w:sz w:val="24"/>
        </w:rPr>
        <w:t>填报单位：</w:t>
      </w:r>
      <w:r>
        <w:rPr>
          <w:rFonts w:hint="eastAsia" w:ascii="仿宋_GB2312" w:eastAsia="仿宋_GB2312"/>
          <w:kern w:val="0"/>
          <w:sz w:val="24"/>
          <w:lang w:eastAsia="zh-CN"/>
        </w:rPr>
        <w:t>区机关事务服务中心</w:t>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r>
        <w:rPr>
          <w:rFonts w:hint="eastAsia" w:ascii="仿宋_GB2312" w:eastAsia="仿宋_GB2312"/>
          <w:kern w:val="0"/>
          <w:sz w:val="24"/>
        </w:rPr>
        <w:tab/>
      </w:r>
    </w:p>
    <w:tbl>
      <w:tblPr>
        <w:tblStyle w:val="5"/>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编制数</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年实际在职</w:t>
            </w:r>
          </w:p>
          <w:p>
            <w:pPr>
              <w:widowControl/>
              <w:spacing w:line="280" w:lineRule="exact"/>
              <w:jc w:val="center"/>
              <w:rPr>
                <w:rFonts w:eastAsia="仿宋_GB2312"/>
                <w:bCs/>
                <w:kern w:val="0"/>
                <w:sz w:val="24"/>
              </w:rPr>
            </w:pPr>
            <w:r>
              <w:rPr>
                <w:rFonts w:eastAsia="仿宋_GB2312"/>
                <w:bCs/>
                <w:kern w:val="0"/>
                <w:sz w:val="24"/>
              </w:rPr>
              <w:t>人数</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控制率</w:t>
            </w:r>
          </w:p>
        </w:tc>
      </w:tr>
      <w:tr>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59</w:t>
            </w:r>
            <w:r>
              <w:rPr>
                <w:rFonts w:eastAsia="仿宋_GB2312"/>
                <w:kern w:val="0"/>
                <w:sz w:val="24"/>
              </w:rPr>
              <w:t>　</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56</w:t>
            </w:r>
            <w:bookmarkStart w:id="0" w:name="_GoBack"/>
            <w:bookmarkEnd w:id="0"/>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7</w:t>
            </w:r>
            <w:r>
              <w:rPr>
                <w:rFonts w:eastAsia="仿宋_GB2312"/>
                <w:bCs/>
                <w:kern w:val="0"/>
                <w:sz w:val="24"/>
              </w:rPr>
              <w:t>年决算数</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年预算数</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bCs/>
                <w:kern w:val="0"/>
                <w:sz w:val="24"/>
              </w:rPr>
            </w:pPr>
            <w:r>
              <w:rPr>
                <w:rFonts w:eastAsia="仿宋_GB2312"/>
                <w:bCs/>
                <w:kern w:val="0"/>
                <w:sz w:val="24"/>
              </w:rPr>
              <w:t>201</w:t>
            </w:r>
            <w:r>
              <w:rPr>
                <w:rFonts w:hint="eastAsia" w:eastAsia="仿宋_GB2312"/>
                <w:bCs/>
                <w:kern w:val="0"/>
                <w:sz w:val="24"/>
              </w:rPr>
              <w:t>8</w:t>
            </w:r>
            <w:r>
              <w:rPr>
                <w:rFonts w:eastAsia="仿宋_GB2312"/>
                <w:bCs/>
                <w:kern w:val="0"/>
                <w:sz w:val="24"/>
              </w:rPr>
              <w:t>年决算数</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三公经费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4.4</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eastAsia="仿宋_GB2312"/>
                <w:kern w:val="0"/>
                <w:sz w:val="24"/>
                <w:lang w:val="en-US" w:eastAsia="zh-CN"/>
              </w:rPr>
            </w:pPr>
            <w:r>
              <w:rPr>
                <w:rFonts w:eastAsia="仿宋_GB2312"/>
                <w:kern w:val="0"/>
                <w:sz w:val="24"/>
              </w:rPr>
              <w:t>　</w:t>
            </w:r>
            <w:r>
              <w:rPr>
                <w:rFonts w:hint="eastAsia" w:eastAsia="仿宋_GB2312"/>
                <w:kern w:val="0"/>
                <w:sz w:val="24"/>
                <w:lang w:val="en-US" w:eastAsia="zh-CN"/>
              </w:rPr>
              <w:t>6.8</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1.34</w:t>
            </w:r>
            <w:r>
              <w:rPr>
                <w:rFonts w:eastAsia="仿宋_GB2312"/>
                <w:kern w:val="0"/>
                <w:sz w:val="24"/>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其中：公车购置</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公车运行维护</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2、出国经费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0</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3、公务接待</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4.4</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6.8</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1.34</w:t>
            </w:r>
            <w:r>
              <w:rPr>
                <w:rFonts w:eastAsia="仿宋_GB2312"/>
                <w:kern w:val="0"/>
                <w:sz w:val="24"/>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项目支出：</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1、业务工作专项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2、运行维护专项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公用经费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eastAsia="仿宋_GB2312"/>
                <w:kern w:val="0"/>
                <w:sz w:val="24"/>
                <w:lang w:val="en-US" w:eastAsia="zh-CN"/>
              </w:rPr>
            </w:pPr>
            <w:r>
              <w:rPr>
                <w:rFonts w:eastAsia="仿宋_GB2312"/>
                <w:kern w:val="0"/>
                <w:sz w:val="24"/>
              </w:rPr>
              <w:t>　</w:t>
            </w:r>
            <w:r>
              <w:rPr>
                <w:rFonts w:hint="eastAsia" w:eastAsia="仿宋_GB2312"/>
                <w:kern w:val="0"/>
                <w:sz w:val="24"/>
                <w:lang w:val="en-US" w:eastAsia="zh-CN"/>
              </w:rPr>
              <w:t>514.743</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427.7</w:t>
            </w: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hint="eastAsia" w:eastAsia="仿宋_GB2312"/>
                <w:kern w:val="0"/>
                <w:sz w:val="24"/>
                <w:lang w:val="en-US" w:eastAsia="zh-CN"/>
              </w:rPr>
              <w:t>977.22</w:t>
            </w:r>
            <w:r>
              <w:rPr>
                <w:rFonts w:eastAsia="仿宋_GB2312"/>
                <w:kern w:val="0"/>
                <w:sz w:val="24"/>
              </w:rPr>
              <w:t>　</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其中：办公经费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水费、电费、差旅费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          会议费、培训费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color w:val="FF0000"/>
                <w:kern w:val="0"/>
                <w:sz w:val="24"/>
              </w:rPr>
            </w:pPr>
            <w:r>
              <w:rPr>
                <w:rFonts w:eastAsia="仿宋_GB2312"/>
                <w:color w:val="FF0000"/>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xml:space="preserve">部门整体支出预算调整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楼堂馆所控制情况</w:t>
            </w:r>
          </w:p>
          <w:p>
            <w:pPr>
              <w:widowControl/>
              <w:spacing w:line="280" w:lineRule="exact"/>
              <w:jc w:val="center"/>
              <w:rPr>
                <w:rFonts w:eastAsia="仿宋_GB2312"/>
                <w:kern w:val="0"/>
                <w:sz w:val="24"/>
              </w:rPr>
            </w:pPr>
            <w:r>
              <w:rPr>
                <w:rFonts w:eastAsia="仿宋_GB2312"/>
                <w:kern w:val="0"/>
                <w:sz w:val="24"/>
              </w:rPr>
              <w:t>（201</w:t>
            </w:r>
            <w:r>
              <w:rPr>
                <w:rFonts w:hint="eastAsia" w:eastAsia="仿宋_GB2312"/>
                <w:kern w:val="0"/>
                <w:sz w:val="24"/>
              </w:rPr>
              <w:t>8</w:t>
            </w:r>
            <w:r>
              <w:rPr>
                <w:rFonts w:eastAsia="仿宋_GB2312"/>
                <w:kern w:val="0"/>
                <w:sz w:val="24"/>
              </w:rPr>
              <w:t>年完工项目）</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批复</w:t>
            </w:r>
          </w:p>
          <w:p>
            <w:pPr>
              <w:widowControl/>
              <w:spacing w:line="280" w:lineRule="exact"/>
              <w:jc w:val="center"/>
              <w:rPr>
                <w:rFonts w:eastAsia="仿宋_GB2312"/>
                <w:bCs/>
                <w:kern w:val="0"/>
                <w:sz w:val="24"/>
              </w:rPr>
            </w:pPr>
            <w:r>
              <w:rPr>
                <w:rFonts w:eastAsia="仿宋_GB2312"/>
                <w:bCs/>
                <w:kern w:val="0"/>
                <w:sz w:val="24"/>
              </w:rPr>
              <w:t>规模</w:t>
            </w:r>
          </w:p>
          <w:p>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实际</w:t>
            </w:r>
          </w:p>
          <w:p>
            <w:pPr>
              <w:widowControl/>
              <w:spacing w:line="280" w:lineRule="exact"/>
              <w:jc w:val="center"/>
              <w:rPr>
                <w:rFonts w:eastAsia="仿宋_GB2312"/>
                <w:bCs/>
                <w:kern w:val="0"/>
                <w:sz w:val="24"/>
              </w:rPr>
            </w:pPr>
            <w:r>
              <w:rPr>
                <w:rFonts w:eastAsia="仿宋_GB2312"/>
                <w:bCs/>
                <w:kern w:val="0"/>
                <w:sz w:val="24"/>
              </w:rPr>
              <w:t>规模</w:t>
            </w:r>
          </w:p>
          <w:p>
            <w:pPr>
              <w:widowControl/>
              <w:spacing w:line="280" w:lineRule="exact"/>
              <w:jc w:val="center"/>
              <w:rPr>
                <w:rFonts w:eastAsia="仿宋_GB2312"/>
                <w:bCs/>
                <w:kern w:val="0"/>
                <w:sz w:val="24"/>
              </w:rPr>
            </w:pPr>
            <w:r>
              <w:rPr>
                <w:rFonts w:eastAsia="仿宋_GB2312"/>
                <w:bCs/>
                <w:kern w:val="0"/>
                <w:sz w:val="24"/>
              </w:rPr>
              <w:t>（</w:t>
            </w:r>
            <w:r>
              <w:rPr>
                <w:bCs/>
                <w:kern w:val="0"/>
                <w:sz w:val="24"/>
              </w:rPr>
              <w:t>㎡</w:t>
            </w:r>
            <w:r>
              <w:rPr>
                <w:rFonts w:eastAsia="仿宋_GB2312"/>
                <w:bCs/>
                <w:kern w:val="0"/>
                <w:sz w:val="24"/>
              </w:rPr>
              <w:t>）</w:t>
            </w:r>
          </w:p>
        </w:tc>
        <w:tc>
          <w:tcPr>
            <w:tcW w:w="987" w:type="dxa"/>
            <w:tcBorders>
              <w:top w:val="nil"/>
              <w:left w:val="nil"/>
              <w:bottom w:val="single" w:color="auto" w:sz="4" w:space="0"/>
              <w:right w:val="single" w:color="auto" w:sz="4" w:space="0"/>
            </w:tcBorders>
            <w:vAlign w:val="center"/>
          </w:tcPr>
          <w:p>
            <w:pPr>
              <w:widowControl/>
              <w:spacing w:line="280" w:lineRule="exact"/>
              <w:jc w:val="center"/>
              <w:rPr>
                <w:rFonts w:hint="eastAsia" w:eastAsia="仿宋_GB2312"/>
                <w:bCs/>
                <w:kern w:val="0"/>
                <w:sz w:val="24"/>
              </w:rPr>
            </w:pPr>
            <w:r>
              <w:rPr>
                <w:rFonts w:eastAsia="仿宋_GB2312"/>
                <w:bCs/>
                <w:kern w:val="0"/>
                <w:sz w:val="24"/>
              </w:rPr>
              <w:t>规</w:t>
            </w:r>
            <w:r>
              <w:rPr>
                <w:rFonts w:hint="eastAsia" w:eastAsia="仿宋_GB2312"/>
                <w:bCs/>
                <w:kern w:val="0"/>
                <w:sz w:val="24"/>
              </w:rPr>
              <w:t xml:space="preserve">  </w:t>
            </w:r>
            <w:r>
              <w:rPr>
                <w:rFonts w:eastAsia="仿宋_GB2312"/>
                <w:bCs/>
                <w:kern w:val="0"/>
                <w:sz w:val="24"/>
              </w:rPr>
              <w:t>模</w:t>
            </w:r>
          </w:p>
          <w:p>
            <w:pPr>
              <w:widowControl/>
              <w:spacing w:line="280" w:lineRule="exact"/>
              <w:jc w:val="center"/>
              <w:rPr>
                <w:rFonts w:eastAsia="仿宋_GB2312"/>
                <w:bCs/>
                <w:kern w:val="0"/>
                <w:sz w:val="24"/>
              </w:rPr>
            </w:pPr>
            <w:r>
              <w:rPr>
                <w:rFonts w:eastAsia="仿宋_GB2312"/>
                <w:bCs/>
                <w:kern w:val="0"/>
                <w:sz w:val="24"/>
              </w:rPr>
              <w:t>控制率</w:t>
            </w:r>
          </w:p>
        </w:tc>
        <w:tc>
          <w:tcPr>
            <w:tcW w:w="121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预算投资</w:t>
            </w:r>
          </w:p>
          <w:p>
            <w:pPr>
              <w:widowControl/>
              <w:spacing w:line="280" w:lineRule="exact"/>
              <w:jc w:val="center"/>
              <w:rPr>
                <w:rFonts w:eastAsia="仿宋_GB2312"/>
                <w:bCs/>
                <w:kern w:val="0"/>
                <w:sz w:val="24"/>
              </w:rPr>
            </w:pPr>
            <w:r>
              <w:rPr>
                <w:rFonts w:eastAsia="仿宋_GB2312"/>
                <w:bCs/>
                <w:kern w:val="0"/>
                <w:sz w:val="24"/>
              </w:rPr>
              <w:t>（万元）</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kern w:val="0"/>
                <w:sz w:val="24"/>
              </w:rPr>
            </w:pPr>
            <w:r>
              <w:rPr>
                <w:rFonts w:eastAsia="仿宋_GB2312"/>
                <w:bCs/>
                <w:kern w:val="0"/>
                <w:sz w:val="24"/>
              </w:rPr>
              <w:t>实际投资</w:t>
            </w:r>
          </w:p>
          <w:p>
            <w:pPr>
              <w:widowControl/>
              <w:spacing w:line="280" w:lineRule="exact"/>
              <w:jc w:val="center"/>
              <w:rPr>
                <w:rFonts w:eastAsia="仿宋_GB2312"/>
                <w:bCs/>
                <w:kern w:val="0"/>
                <w:sz w:val="24"/>
              </w:rPr>
            </w:pPr>
            <w:r>
              <w:rPr>
                <w:rFonts w:eastAsia="仿宋_GB2312"/>
                <w:bCs/>
                <w:kern w:val="0"/>
                <w:sz w:val="24"/>
              </w:rPr>
              <w:t>（万元）</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eastAsia="仿宋_GB2312"/>
                <w:bCs/>
                <w:spacing w:val="-6"/>
                <w:kern w:val="0"/>
                <w:sz w:val="24"/>
              </w:rPr>
            </w:pPr>
            <w:r>
              <w:rPr>
                <w:rFonts w:eastAsia="仿宋_GB2312"/>
                <w:bCs/>
                <w:spacing w:val="-6"/>
                <w:kern w:val="0"/>
                <w:sz w:val="24"/>
              </w:rPr>
              <w:t>投资概算控制率</w:t>
            </w:r>
          </w:p>
        </w:tc>
      </w:tr>
      <w:tr>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eastAsia="仿宋_GB2312"/>
                <w:kern w:val="0"/>
                <w:sz w:val="24"/>
              </w:rPr>
            </w:pP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　</w:t>
            </w:r>
          </w:p>
        </w:tc>
        <w:tc>
          <w:tcPr>
            <w:tcW w:w="936"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9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121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1187"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c>
          <w:tcPr>
            <w:tcW w:w="1135" w:type="dxa"/>
            <w:tcBorders>
              <w:top w:val="nil"/>
              <w:left w:val="nil"/>
              <w:bottom w:val="single" w:color="auto" w:sz="4" w:space="0"/>
              <w:right w:val="single" w:color="auto" w:sz="4" w:space="0"/>
            </w:tcBorders>
            <w:vAlign w:val="center"/>
          </w:tcPr>
          <w:p>
            <w:pPr>
              <w:widowControl/>
              <w:spacing w:line="28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24"/>
              </w:rPr>
            </w:pPr>
            <w:r>
              <w:rPr>
                <w:rFonts w:eastAsia="仿宋_GB2312"/>
                <w:kern w:val="0"/>
                <w:sz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pPr>
              <w:widowControl/>
              <w:spacing w:line="340" w:lineRule="exact"/>
              <w:ind w:left="653" w:hanging="653" w:hangingChars="297"/>
              <w:jc w:val="left"/>
              <w:rPr>
                <w:rFonts w:eastAsia="仿宋_GB2312"/>
                <w:kern w:val="0"/>
                <w:sz w:val="22"/>
                <w:szCs w:val="22"/>
              </w:rPr>
            </w:pPr>
            <w:r>
              <w:rPr>
                <w:rFonts w:eastAsia="仿宋_GB2312"/>
                <w:kern w:val="0"/>
                <w:sz w:val="22"/>
                <w:szCs w:val="22"/>
              </w:rPr>
              <w:t>说明：“项目支出”需要填报除专项资金和基本支出以外的所有项目情况，包括业务工作项目、运行维护项目等；“公用经费”填报基本支出中的一般商品和服务支出。</w:t>
            </w:r>
          </w:p>
        </w:tc>
      </w:tr>
    </w:tbl>
    <w:p>
      <w:pPr>
        <w:spacing w:line="640" w:lineRule="exact"/>
        <w:jc w:val="both"/>
        <w:rPr>
          <w:rFonts w:hint="eastAsia" w:ascii="仿宋_GB2312" w:hAnsi="仿宋_GB2312" w:eastAsia="仿宋_GB2312" w:cs="仿宋_GB2312"/>
          <w:sz w:val="32"/>
          <w:szCs w:val="32"/>
        </w:rPr>
      </w:pPr>
    </w:p>
    <w:p/>
    <w:sectPr>
      <w:headerReference r:id="rId3" w:type="default"/>
      <w:footerReference r:id="rId4" w:type="default"/>
      <w:pgSz w:w="11850" w:h="16783"/>
      <w:pgMar w:top="1440" w:right="1080" w:bottom="1440" w:left="1080" w:header="0" w:footer="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A2F43"/>
    <w:rsid w:val="22DB67E8"/>
    <w:rsid w:val="3BA53179"/>
    <w:rsid w:val="475E5DD2"/>
    <w:rsid w:val="49FD7AC8"/>
    <w:rsid w:val="708B68DF"/>
    <w:rsid w:val="72863EB6"/>
    <w:rsid w:val="7466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2021-06-08T07:48:13Z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