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黑体" w:hAnsi="宋体" w:eastAsia="黑体"/>
          <w:b/>
          <w:bCs/>
          <w:sz w:val="44"/>
          <w:szCs w:val="44"/>
          <w:lang w:eastAsia="zh-CN"/>
        </w:rPr>
      </w:pPr>
      <w:r>
        <w:rPr>
          <w:rFonts w:hint="eastAsia" w:ascii="黑体" w:hAnsi="宋体" w:eastAsia="黑体"/>
          <w:b/>
          <w:bCs/>
          <w:sz w:val="44"/>
          <w:szCs w:val="44"/>
        </w:rPr>
        <w:t>2018年度</w:t>
      </w:r>
      <w:bookmarkStart w:id="0" w:name="_Toc408479627"/>
      <w:bookmarkStart w:id="1" w:name="_Toc439770881"/>
      <w:bookmarkStart w:id="2" w:name="_Toc408496406"/>
      <w:r>
        <w:rPr>
          <w:rFonts w:hint="eastAsia" w:ascii="黑体" w:hAnsi="宋体" w:eastAsia="黑体"/>
          <w:b/>
          <w:bCs/>
          <w:sz w:val="44"/>
          <w:szCs w:val="44"/>
        </w:rPr>
        <w:t>冷水滩区局</w:t>
      </w:r>
      <w:bookmarkEnd w:id="0"/>
      <w:bookmarkEnd w:id="1"/>
      <w:bookmarkEnd w:id="2"/>
      <w:r>
        <w:rPr>
          <w:rFonts w:hint="eastAsia" w:ascii="黑体" w:hAnsi="宋体" w:eastAsia="黑体"/>
          <w:b/>
          <w:bCs/>
          <w:sz w:val="44"/>
          <w:szCs w:val="44"/>
          <w:lang w:eastAsia="zh-CN"/>
        </w:rPr>
        <w:t>政务服务中心</w:t>
      </w:r>
    </w:p>
    <w:p>
      <w:pPr>
        <w:jc w:val="center"/>
        <w:rPr>
          <w:rFonts w:ascii="黑体" w:hAnsi="宋体" w:eastAsia="黑体"/>
          <w:b/>
          <w:bCs/>
          <w:sz w:val="44"/>
          <w:szCs w:val="44"/>
        </w:rPr>
      </w:pPr>
      <w:r>
        <w:rPr>
          <w:rFonts w:hint="eastAsia" w:ascii="黑体" w:hAnsi="宋体" w:eastAsia="黑体"/>
          <w:b/>
          <w:bCs/>
          <w:sz w:val="44"/>
          <w:szCs w:val="44"/>
        </w:rPr>
        <w:t>专项资金绩效报告</w:t>
      </w:r>
    </w:p>
    <w:p>
      <w:pPr>
        <w:pStyle w:val="3"/>
        <w:spacing w:line="440" w:lineRule="exact"/>
        <w:rPr>
          <w:rFonts w:ascii="仿宋" w:hAnsi="仿宋" w:eastAsia="仿宋"/>
          <w:szCs w:val="32"/>
        </w:rPr>
      </w:pPr>
      <w:r>
        <w:rPr>
          <w:rFonts w:hint="eastAsia" w:ascii="仿宋" w:hAnsi="仿宋" w:eastAsia="仿宋"/>
          <w:szCs w:val="32"/>
        </w:rPr>
        <w:t>一、项目概况</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w:t>
      </w:r>
      <w:r>
        <w:rPr>
          <w:rFonts w:hint="eastAsia" w:ascii="仿宋" w:hAnsi="仿宋" w:eastAsia="仿宋" w:cs="仿宋_GB2312"/>
          <w:b/>
          <w:sz w:val="32"/>
          <w:szCs w:val="32"/>
        </w:rPr>
        <w:t>项目单位基本情况</w:t>
      </w:r>
    </w:p>
    <w:p>
      <w:pPr>
        <w:autoSpaceDE w:val="0"/>
        <w:autoSpaceDN w:val="0"/>
        <w:adjustRightInd w:val="0"/>
        <w:spacing w:line="600" w:lineRule="exact"/>
        <w:ind w:firstLine="800" w:firstLineChars="250"/>
        <w:jc w:val="left"/>
        <w:rPr>
          <w:rFonts w:ascii="仿宋" w:hAnsi="仿宋" w:eastAsia="仿宋" w:cs="仿宋_GB2312"/>
          <w:sz w:val="32"/>
          <w:szCs w:val="32"/>
        </w:rPr>
      </w:pPr>
      <w:r>
        <w:rPr>
          <w:rFonts w:hint="eastAsia" w:eastAsia="仿宋_GB2312"/>
          <w:color w:val="000000"/>
          <w:kern w:val="0"/>
          <w:sz w:val="32"/>
          <w:szCs w:val="32"/>
          <w:lang w:val="en-US" w:eastAsia="zh-CN"/>
        </w:rPr>
        <w:t>冷水滩区政务服务中心</w:t>
      </w:r>
      <w:r>
        <w:rPr>
          <w:rFonts w:hint="eastAsia" w:eastAsia="仿宋_GB2312"/>
          <w:color w:val="000000"/>
          <w:kern w:val="0"/>
          <w:sz w:val="32"/>
          <w:szCs w:val="32"/>
        </w:rPr>
        <w:t>内设机构包括</w:t>
      </w:r>
      <w:r>
        <w:rPr>
          <w:rFonts w:hint="eastAsia" w:eastAsia="仿宋_GB2312"/>
          <w:color w:val="000000"/>
          <w:kern w:val="0"/>
          <w:sz w:val="32"/>
          <w:szCs w:val="32"/>
          <w:lang w:eastAsia="zh-CN"/>
        </w:rPr>
        <w:t>：办公室和政务</w:t>
      </w:r>
      <w:r>
        <w:rPr>
          <w:rFonts w:hint="eastAsia" w:eastAsia="仿宋_GB2312"/>
          <w:color w:val="000000"/>
          <w:kern w:val="0"/>
          <w:sz w:val="32"/>
          <w:szCs w:val="32"/>
          <w:lang w:val="en-US" w:eastAsia="zh-CN"/>
        </w:rPr>
        <w:t>服务大厅。</w:t>
      </w:r>
      <w:r>
        <w:rPr>
          <w:rFonts w:hint="eastAsia" w:ascii="仿宋" w:hAnsi="仿宋" w:eastAsia="仿宋" w:cs="仿宋_GB2312"/>
          <w:sz w:val="32"/>
          <w:szCs w:val="32"/>
        </w:rPr>
        <w:t>本单位截止2018年12月底实有总编制人数</w:t>
      </w:r>
      <w:r>
        <w:rPr>
          <w:rFonts w:hint="eastAsia" w:ascii="仿宋" w:hAnsi="仿宋" w:eastAsia="仿宋" w:cs="仿宋_GB2312"/>
          <w:sz w:val="32"/>
          <w:szCs w:val="32"/>
          <w:lang w:val="en-US" w:eastAsia="zh-CN"/>
        </w:rPr>
        <w:t>5</w:t>
      </w:r>
      <w:r>
        <w:rPr>
          <w:rFonts w:hint="eastAsia" w:ascii="仿宋" w:hAnsi="仿宋" w:eastAsia="仿宋" w:cs="仿宋_GB2312"/>
          <w:sz w:val="32"/>
          <w:szCs w:val="32"/>
        </w:rPr>
        <w:t>个，其中：行政编制</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人，行政工勤1人，事业编制</w:t>
      </w:r>
      <w:r>
        <w:rPr>
          <w:rFonts w:hint="eastAsia" w:ascii="仿宋" w:hAnsi="仿宋" w:eastAsia="仿宋" w:cs="仿宋_GB2312"/>
          <w:sz w:val="32"/>
          <w:szCs w:val="32"/>
          <w:lang w:val="en-US" w:eastAsia="zh-CN"/>
        </w:rPr>
        <w:t>2</w:t>
      </w:r>
      <w:r>
        <w:rPr>
          <w:rFonts w:hint="eastAsia" w:ascii="仿宋" w:hAnsi="仿宋" w:eastAsia="仿宋" w:cs="仿宋_GB2312"/>
          <w:sz w:val="32"/>
          <w:szCs w:val="32"/>
        </w:rPr>
        <w:t>人。</w:t>
      </w:r>
    </w:p>
    <w:p>
      <w:pPr>
        <w:pStyle w:val="3"/>
        <w:numPr>
          <w:ilvl w:val="0"/>
          <w:numId w:val="1"/>
        </w:numPr>
        <w:spacing w:line="440" w:lineRule="exact"/>
        <w:ind w:firstLine="643" w:firstLineChars="200"/>
        <w:rPr>
          <w:rFonts w:hint="eastAsia" w:ascii="仿宋" w:hAnsi="仿宋" w:eastAsia="仿宋"/>
          <w:szCs w:val="32"/>
        </w:rPr>
      </w:pPr>
      <w:r>
        <w:rPr>
          <w:rFonts w:hint="eastAsia" w:ascii="仿宋" w:hAnsi="仿宋" w:eastAsia="仿宋"/>
          <w:szCs w:val="32"/>
        </w:rPr>
        <w:t>项目年度预算绩效目标等情况</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jc w:val="both"/>
        <w:rPr>
          <w:rFonts w:hint="eastAsia" w:ascii="Times New Roman" w:hAnsi="Times New Roman" w:eastAsia="仿宋_GB2312" w:cs="Times New Roman"/>
          <w:kern w:val="0"/>
          <w:sz w:val="32"/>
          <w:szCs w:val="32"/>
        </w:rPr>
      </w:pPr>
      <w:r>
        <w:rPr>
          <w:rFonts w:hint="eastAsia"/>
          <w:lang w:val="en-US" w:eastAsia="zh-CN"/>
        </w:rPr>
        <w:t xml:space="preserve">     </w:t>
      </w:r>
      <w:r>
        <w:rPr>
          <w:rFonts w:hint="eastAsia" w:ascii="Times New Roman" w:hAnsi="Times New Roman" w:eastAsia="仿宋_GB2312" w:cs="Times New Roman"/>
          <w:kern w:val="0"/>
          <w:sz w:val="32"/>
          <w:szCs w:val="32"/>
        </w:rPr>
        <w:t>1、完成本单位正常工作，本年度支出没有超出预算收入；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1280" w:firstLineChars="400"/>
        <w:jc w:val="both"/>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2、严格执行三公经费开支标准；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1292" w:firstLineChars="404"/>
        <w:jc w:val="both"/>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3、保证职工工资发放。　</w:t>
      </w:r>
    </w:p>
    <w:p>
      <w:pPr>
        <w:numPr>
          <w:numId w:val="0"/>
        </w:numPr>
        <w:rPr>
          <w:rFonts w:hint="default" w:eastAsia="宋体"/>
          <w:lang w:val="en-US" w:eastAsia="zh-CN"/>
        </w:rPr>
      </w:pPr>
    </w:p>
    <w:p>
      <w:pPr>
        <w:pStyle w:val="2"/>
        <w:spacing w:line="440" w:lineRule="exact"/>
        <w:ind w:firstLine="643" w:firstLineChars="200"/>
        <w:rPr>
          <w:rFonts w:hint="eastAsia" w:ascii="仿宋" w:hAnsi="仿宋" w:eastAsia="仿宋"/>
        </w:rPr>
      </w:pPr>
    </w:p>
    <w:p>
      <w:pPr>
        <w:pStyle w:val="2"/>
        <w:spacing w:line="440" w:lineRule="exact"/>
        <w:rPr>
          <w:rFonts w:ascii="仿宋" w:hAnsi="仿宋" w:eastAsia="仿宋"/>
        </w:rPr>
      </w:pPr>
      <w:r>
        <w:rPr>
          <w:rFonts w:hint="eastAsia" w:ascii="仿宋" w:hAnsi="仿宋" w:eastAsia="仿宋"/>
        </w:rPr>
        <w:t xml:space="preserve">二、项目资金使用及管理情况 </w:t>
      </w:r>
    </w:p>
    <w:p>
      <w:pPr>
        <w:spacing w:line="440" w:lineRule="exact"/>
        <w:ind w:firstLine="643" w:firstLineChars="200"/>
        <w:rPr>
          <w:rFonts w:ascii="仿宋" w:hAnsi="仿宋" w:eastAsia="仿宋" w:cs="仿宋_GB2312"/>
          <w:sz w:val="32"/>
          <w:szCs w:val="32"/>
        </w:rPr>
      </w:pPr>
      <w:r>
        <w:rPr>
          <w:rFonts w:hint="eastAsia" w:ascii="仿宋" w:hAnsi="仿宋" w:eastAsia="仿宋" w:cs="楷体_GB2312"/>
          <w:b/>
          <w:sz w:val="32"/>
          <w:szCs w:val="32"/>
        </w:rPr>
        <w:t>（</w:t>
      </w:r>
      <w:r>
        <w:rPr>
          <w:rFonts w:hint="eastAsia" w:ascii="仿宋" w:hAnsi="仿宋" w:eastAsia="仿宋" w:cs="仿宋_GB2312"/>
          <w:b/>
          <w:sz w:val="32"/>
          <w:szCs w:val="32"/>
        </w:rPr>
        <w:t>一）项目资金安排落实情况分析</w:t>
      </w:r>
      <w:r>
        <w:rPr>
          <w:rFonts w:hint="eastAsia" w:ascii="仿宋" w:hAnsi="仿宋" w:eastAsia="仿宋" w:cs="仿宋_GB2312"/>
          <w:sz w:val="32"/>
          <w:szCs w:val="32"/>
        </w:rPr>
        <w:t>。</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 xml:space="preserve">  项目预算安排资金</w:t>
      </w:r>
      <w:r>
        <w:rPr>
          <w:rFonts w:hint="eastAsia" w:ascii="仿宋" w:hAnsi="仿宋" w:eastAsia="仿宋" w:cs="仿宋_GB2312"/>
          <w:sz w:val="32"/>
          <w:szCs w:val="32"/>
          <w:lang w:val="en-US" w:eastAsia="zh-CN"/>
        </w:rPr>
        <w:t>20.05</w:t>
      </w:r>
      <w:r>
        <w:rPr>
          <w:rFonts w:hint="eastAsia" w:ascii="仿宋" w:hAnsi="仿宋" w:eastAsia="仿宋" w:cs="仿宋_GB2312"/>
          <w:sz w:val="32"/>
          <w:szCs w:val="32"/>
        </w:rPr>
        <w:t>万元，已纳入2018年区本级项目支出预算并全部到位。</w:t>
      </w:r>
    </w:p>
    <w:p>
      <w:pPr>
        <w:spacing w:line="440" w:lineRule="exact"/>
        <w:ind w:firstLine="643" w:firstLineChars="200"/>
        <w:rPr>
          <w:rFonts w:ascii="仿宋" w:hAnsi="仿宋" w:eastAsia="仿宋" w:cs="仿宋_GB2312"/>
          <w:sz w:val="32"/>
          <w:szCs w:val="32"/>
        </w:rPr>
      </w:pPr>
      <w:r>
        <w:rPr>
          <w:rFonts w:hint="eastAsia" w:ascii="仿宋" w:hAnsi="仿宋" w:eastAsia="仿宋" w:cs="仿宋_GB2312"/>
          <w:b/>
          <w:sz w:val="32"/>
          <w:szCs w:val="32"/>
        </w:rPr>
        <w:t>（二）项目资金实际使用情况分析。</w:t>
      </w:r>
    </w:p>
    <w:p>
      <w:pPr>
        <w:spacing w:line="44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项目</w:t>
      </w:r>
      <w:r>
        <w:rPr>
          <w:rFonts w:hint="eastAsia" w:ascii="仿宋" w:hAnsi="仿宋" w:eastAsia="仿宋" w:cs="仿宋_GB2312"/>
          <w:sz w:val="32"/>
          <w:szCs w:val="32"/>
          <w:lang w:eastAsia="zh-CN"/>
        </w:rPr>
        <w:t>预算</w:t>
      </w:r>
      <w:r>
        <w:rPr>
          <w:rFonts w:hint="eastAsia" w:ascii="仿宋" w:hAnsi="仿宋" w:eastAsia="仿宋" w:cs="仿宋_GB2312"/>
          <w:sz w:val="32"/>
          <w:szCs w:val="32"/>
        </w:rPr>
        <w:t>总投入资金</w:t>
      </w:r>
      <w:r>
        <w:rPr>
          <w:rFonts w:hint="eastAsia" w:ascii="仿宋" w:hAnsi="仿宋" w:eastAsia="仿宋" w:cs="仿宋_GB2312"/>
          <w:sz w:val="32"/>
          <w:szCs w:val="32"/>
          <w:lang w:val="en-US" w:eastAsia="zh-CN"/>
        </w:rPr>
        <w:t>20.05</w:t>
      </w:r>
      <w:r>
        <w:rPr>
          <w:rFonts w:hint="eastAsia" w:ascii="仿宋" w:hAnsi="仿宋" w:eastAsia="仿宋" w:cs="仿宋_GB2312"/>
          <w:sz w:val="32"/>
          <w:szCs w:val="32"/>
        </w:rPr>
        <w:t>万元。具体业务经费项目为：运转经费13.05万元、新闻发言人办公室工作经费1万元、电子显示屏维修经费1万元、政府采购经费2.6万元、网络宽带费2.4万元</w:t>
      </w:r>
    </w:p>
    <w:p>
      <w:pPr>
        <w:spacing w:line="440" w:lineRule="exact"/>
        <w:ind w:firstLine="643" w:firstLineChars="200"/>
        <w:rPr>
          <w:rFonts w:ascii="仿宋" w:hAnsi="仿宋" w:eastAsia="仿宋" w:cs="仿宋_GB2312"/>
          <w:b/>
          <w:sz w:val="32"/>
          <w:szCs w:val="32"/>
        </w:rPr>
      </w:pPr>
      <w:r>
        <w:rPr>
          <w:rFonts w:hint="eastAsia" w:ascii="仿宋" w:hAnsi="仿宋" w:eastAsia="仿宋" w:cs="仿宋_GB2312"/>
          <w:b/>
          <w:sz w:val="32"/>
          <w:szCs w:val="32"/>
        </w:rPr>
        <w:t>（三）项目资金管理情况分析。</w:t>
      </w:r>
    </w:p>
    <w:p>
      <w:pPr>
        <w:spacing w:line="44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为了加强项目资金管理，项目资金支出都严格按照财务管理制度的相关规定严格有序地进行操作。在项目资金使用过程中，厉行节约，避免浪费，让项目资金的效益的实现最大化。</w:t>
      </w:r>
    </w:p>
    <w:p>
      <w:pPr>
        <w:spacing w:line="44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三、项目组织实施情况</w:t>
      </w:r>
    </w:p>
    <w:p>
      <w:pPr>
        <w:spacing w:line="44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（一）项目组织情况分析。</w:t>
      </w:r>
    </w:p>
    <w:p>
      <w:pPr>
        <w:spacing w:line="440" w:lineRule="exact"/>
        <w:ind w:firstLine="640" w:firstLineChars="200"/>
        <w:rPr>
          <w:rFonts w:ascii="仿宋" w:hAnsi="仿宋" w:eastAsia="仿宋" w:cs="仿宋_GB2312"/>
          <w:b/>
          <w:sz w:val="32"/>
          <w:szCs w:val="32"/>
        </w:rPr>
      </w:pPr>
      <w:r>
        <w:rPr>
          <w:rFonts w:hint="eastAsia" w:ascii="仿宋" w:hAnsi="仿宋" w:eastAsia="仿宋" w:cs="仿宋"/>
          <w:i w:val="0"/>
          <w:iCs w:val="0"/>
          <w:caps w:val="0"/>
          <w:color w:val="535353"/>
          <w:spacing w:val="0"/>
          <w:sz w:val="32"/>
          <w:szCs w:val="32"/>
          <w:shd w:val="clear" w:fill="FFFFFF"/>
        </w:rPr>
        <w:t>资金主要用于机关正常运转、职工工资等方面，取得了较好的经济效益和社会效益。</w:t>
      </w:r>
    </w:p>
    <w:p>
      <w:pPr>
        <w:spacing w:line="440" w:lineRule="exact"/>
        <w:ind w:firstLine="643" w:firstLineChars="200"/>
        <w:rPr>
          <w:rFonts w:ascii="仿宋" w:hAnsi="仿宋" w:eastAsia="仿宋"/>
          <w:b/>
          <w:bCs/>
          <w:sz w:val="32"/>
          <w:szCs w:val="32"/>
        </w:rPr>
      </w:pPr>
      <w:r>
        <w:rPr>
          <w:rFonts w:hint="eastAsia" w:ascii="仿宋" w:hAnsi="仿宋" w:eastAsia="仿宋" w:cs="仿宋_GB2312"/>
          <w:b/>
          <w:sz w:val="32"/>
          <w:szCs w:val="32"/>
        </w:rPr>
        <w:t>四、</w:t>
      </w:r>
      <w:r>
        <w:rPr>
          <w:rFonts w:hint="eastAsia" w:ascii="仿宋" w:hAnsi="仿宋" w:eastAsia="仿宋"/>
          <w:b/>
          <w:bCs/>
          <w:sz w:val="32"/>
          <w:szCs w:val="32"/>
        </w:rPr>
        <w:t>项目绩效情况</w:t>
      </w:r>
    </w:p>
    <w:p>
      <w:pPr>
        <w:numPr>
          <w:ilvl w:val="0"/>
          <w:numId w:val="2"/>
        </w:numPr>
        <w:spacing w:line="440" w:lineRule="exact"/>
        <w:ind w:firstLine="643" w:firstLineChars="200"/>
        <w:rPr>
          <w:rFonts w:ascii="仿宋" w:hAnsi="仿宋" w:eastAsia="仿宋"/>
          <w:b/>
          <w:bCs/>
          <w:sz w:val="32"/>
          <w:szCs w:val="32"/>
        </w:rPr>
      </w:pPr>
      <w:r>
        <w:rPr>
          <w:rFonts w:hint="eastAsia" w:ascii="仿宋" w:hAnsi="仿宋" w:eastAsia="仿宋"/>
          <w:b/>
          <w:bCs/>
          <w:sz w:val="32"/>
          <w:szCs w:val="32"/>
        </w:rPr>
        <w:t>项目绩效目标完成情况分析</w:t>
      </w:r>
    </w:p>
    <w:p>
      <w:pPr>
        <w:spacing w:line="440" w:lineRule="exact"/>
        <w:ind w:firstLine="643" w:firstLineChars="200"/>
        <w:rPr>
          <w:rFonts w:ascii="仿宋" w:hAnsi="仿宋" w:eastAsia="仿宋"/>
          <w:b/>
          <w:bCs/>
          <w:sz w:val="32"/>
          <w:szCs w:val="32"/>
        </w:rPr>
      </w:pPr>
      <w:r>
        <w:rPr>
          <w:rFonts w:hint="eastAsia" w:ascii="仿宋" w:hAnsi="仿宋" w:eastAsia="仿宋"/>
          <w:b/>
          <w:bCs/>
          <w:sz w:val="32"/>
          <w:szCs w:val="32"/>
        </w:rPr>
        <w:t xml:space="preserve">  1. 经济性</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需要施行的项目，在实施的过程中，严格地控制经费的支出，实际总支出未超出预算范围。</w:t>
      </w:r>
    </w:p>
    <w:p>
      <w:pPr>
        <w:spacing w:line="440" w:lineRule="exact"/>
        <w:ind w:firstLine="643" w:firstLineChars="200"/>
        <w:rPr>
          <w:rFonts w:ascii="仿宋" w:hAnsi="仿宋" w:eastAsia="仿宋"/>
          <w:b/>
          <w:bCs/>
          <w:sz w:val="32"/>
          <w:szCs w:val="32"/>
        </w:rPr>
      </w:pPr>
      <w:r>
        <w:rPr>
          <w:rFonts w:hint="eastAsia" w:ascii="仿宋" w:hAnsi="仿宋" w:eastAsia="仿宋"/>
          <w:b/>
          <w:bCs/>
          <w:sz w:val="32"/>
          <w:szCs w:val="32"/>
        </w:rPr>
        <w:t xml:space="preserve">  2.效率性</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项目在规定的期限内全部实施完毕，效率高。</w:t>
      </w:r>
    </w:p>
    <w:p>
      <w:pPr>
        <w:spacing w:line="440" w:lineRule="exact"/>
        <w:ind w:firstLine="643" w:firstLineChars="200"/>
        <w:rPr>
          <w:rFonts w:ascii="仿宋" w:hAnsi="仿宋" w:eastAsia="仿宋"/>
          <w:b/>
          <w:bCs/>
          <w:sz w:val="32"/>
          <w:szCs w:val="32"/>
        </w:rPr>
      </w:pPr>
      <w:r>
        <w:rPr>
          <w:rFonts w:hint="eastAsia" w:ascii="仿宋" w:hAnsi="仿宋" w:eastAsia="仿宋"/>
          <w:b/>
          <w:bCs/>
          <w:sz w:val="32"/>
          <w:szCs w:val="32"/>
        </w:rPr>
        <w:t>（二）项目绩效目标未完成原因分析</w:t>
      </w:r>
    </w:p>
    <w:p>
      <w:pPr>
        <w:spacing w:line="440" w:lineRule="exact"/>
        <w:ind w:firstLine="640" w:firstLineChars="200"/>
        <w:rPr>
          <w:rFonts w:hint="eastAsia" w:ascii="仿宋" w:hAnsi="仿宋" w:eastAsia="仿宋"/>
          <w:sz w:val="32"/>
          <w:szCs w:val="32"/>
        </w:rPr>
      </w:pPr>
      <w:r>
        <w:rPr>
          <w:rFonts w:hint="eastAsia" w:ascii="仿宋" w:hAnsi="仿宋" w:eastAsia="仿宋"/>
          <w:sz w:val="32"/>
          <w:szCs w:val="32"/>
        </w:rPr>
        <w:t>2018年项目绩效目标均顺利完成。</w:t>
      </w:r>
    </w:p>
    <w:p>
      <w:pPr>
        <w:numPr>
          <w:ilvl w:val="0"/>
          <w:numId w:val="3"/>
        </w:numPr>
        <w:spacing w:line="440" w:lineRule="exact"/>
        <w:ind w:firstLine="643" w:firstLineChars="200"/>
        <w:rPr>
          <w:rFonts w:hint="eastAsia" w:ascii="仿宋" w:hAnsi="仿宋" w:eastAsia="仿宋"/>
          <w:b/>
          <w:bCs/>
          <w:sz w:val="32"/>
          <w:szCs w:val="32"/>
          <w:lang w:val="en-US" w:eastAsia="zh-CN"/>
        </w:rPr>
      </w:pPr>
      <w:r>
        <w:rPr>
          <w:rFonts w:hint="eastAsia" w:ascii="仿宋" w:hAnsi="仿宋" w:eastAsia="仿宋"/>
          <w:b/>
          <w:bCs/>
          <w:sz w:val="32"/>
          <w:szCs w:val="32"/>
          <w:lang w:val="en-US" w:eastAsia="zh-CN"/>
        </w:rPr>
        <w:t>绩效自评得分等级结果</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绩效自评得分为90分绩效等级为优</w:t>
      </w:r>
    </w:p>
    <w:p>
      <w:pPr>
        <w:numPr>
          <w:ilvl w:val="0"/>
          <w:numId w:val="0"/>
        </w:numPr>
        <w:spacing w:line="440" w:lineRule="exact"/>
        <w:ind w:firstLine="643" w:firstLineChars="200"/>
        <w:rPr>
          <w:rFonts w:ascii="仿宋" w:hAnsi="仿宋" w:eastAsia="仿宋"/>
          <w:b/>
          <w:bCs/>
          <w:sz w:val="32"/>
          <w:szCs w:val="32"/>
        </w:rPr>
      </w:pPr>
      <w:r>
        <w:rPr>
          <w:rFonts w:hint="eastAsia" w:ascii="仿宋" w:hAnsi="仿宋" w:eastAsia="仿宋"/>
          <w:b/>
          <w:bCs/>
          <w:sz w:val="32"/>
          <w:szCs w:val="32"/>
          <w:lang w:val="en-US" w:eastAsia="zh-CN"/>
        </w:rPr>
        <w:t>六、</w:t>
      </w:r>
      <w:r>
        <w:rPr>
          <w:rFonts w:hint="eastAsia" w:ascii="仿宋" w:hAnsi="仿宋" w:eastAsia="仿宋"/>
          <w:b/>
          <w:bCs/>
          <w:sz w:val="32"/>
          <w:szCs w:val="32"/>
        </w:rPr>
        <w:t>其他需要说明的问题</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（一）在2019年将继续加强对项目资金的管理，坚持专款专用的原则，保证专项资金的安全，使得工作顺利开展。</w:t>
      </w:r>
    </w:p>
    <w:p>
      <w:pPr>
        <w:spacing w:line="440" w:lineRule="exact"/>
        <w:ind w:firstLine="640" w:firstLineChars="200"/>
        <w:rPr>
          <w:rFonts w:ascii="仿宋" w:hAnsi="仿宋" w:eastAsia="仿宋"/>
          <w:sz w:val="32"/>
          <w:szCs w:val="32"/>
        </w:rPr>
      </w:pPr>
      <w:r>
        <w:rPr>
          <w:rFonts w:hint="eastAsia" w:ascii="仿宋" w:hAnsi="仿宋" w:eastAsia="仿宋" w:cs="仿宋_GB2312"/>
          <w:sz w:val="32"/>
          <w:szCs w:val="32"/>
        </w:rPr>
        <w:t>（二）</w:t>
      </w:r>
      <w:r>
        <w:rPr>
          <w:rFonts w:hint="eastAsia" w:ascii="仿宋" w:hAnsi="仿宋" w:eastAsia="仿宋"/>
          <w:sz w:val="32"/>
          <w:szCs w:val="32"/>
        </w:rPr>
        <w:t>严格按照政策标准，优化支出结构，加快工作进度，提高预算编制的科学化精细化水平。</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（三）完善项目责任制。各业务股室为项目实施责任单位，应加强与财务部门的沟通协调和项目实施，加快预算的执行进度，争取达到财政要求。</w:t>
      </w:r>
    </w:p>
    <w:p>
      <w:pPr>
        <w:spacing w:line="440" w:lineRule="exact"/>
        <w:ind w:firstLine="640" w:firstLineChars="200"/>
        <w:rPr>
          <w:rFonts w:ascii="仿宋" w:hAnsi="仿宋" w:eastAsia="仿宋"/>
          <w:sz w:val="32"/>
          <w:szCs w:val="32"/>
        </w:rPr>
      </w:pPr>
      <w:r>
        <w:rPr>
          <w:rFonts w:hint="eastAsia" w:ascii="仿宋" w:hAnsi="仿宋" w:eastAsia="仿宋"/>
          <w:sz w:val="32"/>
          <w:szCs w:val="32"/>
        </w:rPr>
        <w:t>（四）培养专业性人才，加强创新，积极进取。</w:t>
      </w:r>
    </w:p>
    <w:p>
      <w:pPr>
        <w:spacing w:line="440" w:lineRule="exact"/>
        <w:rPr>
          <w:rFonts w:ascii="仿宋" w:hAnsi="仿宋" w:eastAsia="仿宋"/>
          <w:sz w:val="32"/>
          <w:szCs w:val="32"/>
        </w:rPr>
      </w:pPr>
    </w:p>
    <w:p>
      <w:pPr>
        <w:spacing w:line="440" w:lineRule="exact"/>
        <w:rPr>
          <w:rFonts w:ascii="仿宋" w:hAnsi="仿宋" w:eastAsia="仿宋"/>
          <w:sz w:val="32"/>
          <w:szCs w:val="32"/>
        </w:rPr>
      </w:pPr>
      <w:r>
        <w:rPr>
          <w:rFonts w:hint="eastAsia" w:ascii="仿宋" w:hAnsi="仿宋" w:eastAsia="仿宋"/>
          <w:sz w:val="32"/>
          <w:szCs w:val="32"/>
        </w:rPr>
        <w:t xml:space="preserve">                        </w:t>
      </w:r>
    </w:p>
    <w:p>
      <w:pPr>
        <w:spacing w:line="440" w:lineRule="exact"/>
        <w:rPr>
          <w:rFonts w:ascii="仿宋" w:hAnsi="仿宋" w:eastAsia="仿宋"/>
          <w:sz w:val="32"/>
          <w:szCs w:val="32"/>
        </w:rPr>
      </w:pPr>
    </w:p>
    <w:p>
      <w:pPr>
        <w:spacing w:line="440" w:lineRule="exact"/>
        <w:rPr>
          <w:rFonts w:ascii="仿宋" w:hAnsi="仿宋" w:eastAsia="仿宋"/>
          <w:sz w:val="32"/>
          <w:szCs w:val="32"/>
        </w:rPr>
      </w:pPr>
    </w:p>
    <w:p>
      <w:pPr>
        <w:spacing w:line="440" w:lineRule="exact"/>
        <w:rPr>
          <w:rFonts w:ascii="仿宋" w:hAnsi="仿宋" w:eastAsia="仿宋"/>
          <w:sz w:val="32"/>
          <w:szCs w:val="32"/>
        </w:rPr>
      </w:pPr>
    </w:p>
    <w:p>
      <w:pPr>
        <w:spacing w:line="440" w:lineRule="exact"/>
        <w:ind w:firstLine="2880" w:firstLineChars="900"/>
        <w:rPr>
          <w:rFonts w:ascii="仿宋" w:hAnsi="仿宋" w:eastAsia="仿宋"/>
          <w:sz w:val="32"/>
          <w:szCs w:val="32"/>
        </w:rPr>
      </w:pPr>
    </w:p>
    <w:p>
      <w:pPr>
        <w:spacing w:line="440" w:lineRule="exact"/>
        <w:ind w:firstLine="2880" w:firstLineChars="900"/>
        <w:rPr>
          <w:rFonts w:ascii="仿宋" w:hAnsi="仿宋" w:eastAsia="仿宋"/>
          <w:sz w:val="32"/>
          <w:szCs w:val="32"/>
        </w:rPr>
      </w:pPr>
    </w:p>
    <w:p>
      <w:pPr>
        <w:spacing w:line="440" w:lineRule="exact"/>
        <w:ind w:firstLine="2880" w:firstLineChars="9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ascii="仿宋" w:hAnsi="仿宋" w:eastAsia="仿宋"/>
          <w:sz w:val="32"/>
          <w:szCs w:val="32"/>
        </w:rPr>
      </w:pPr>
    </w:p>
    <w:p>
      <w:pPr>
        <w:spacing w:line="440" w:lineRule="exact"/>
        <w:ind w:firstLine="3840" w:firstLineChars="1200"/>
        <w:rPr>
          <w:rFonts w:hint="eastAsia" w:ascii="仿宋" w:hAnsi="仿宋" w:eastAsia="仿宋"/>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bookmarkStart w:id="3" w:name="_GoBack"/>
      <w:bookmarkEnd w:id="3"/>
      <w:r>
        <w:rPr>
          <w:rFonts w:hint="eastAsia" w:ascii="仿宋" w:hAnsi="仿宋" w:eastAsia="仿宋"/>
          <w:sz w:val="32"/>
          <w:szCs w:val="32"/>
        </w:rPr>
        <w:t>冷水滩区</w:t>
      </w:r>
      <w:r>
        <w:rPr>
          <w:rFonts w:hint="eastAsia" w:ascii="仿宋" w:hAnsi="仿宋" w:eastAsia="仿宋"/>
          <w:sz w:val="32"/>
          <w:szCs w:val="32"/>
          <w:lang w:eastAsia="zh-CN"/>
        </w:rPr>
        <w:t>政务服务中心</w:t>
      </w:r>
    </w:p>
    <w:p>
      <w:pPr>
        <w:spacing w:line="440" w:lineRule="exact"/>
        <w:rPr>
          <w:rFonts w:ascii="仿宋" w:hAnsi="仿宋" w:eastAsia="仿宋"/>
          <w:sz w:val="32"/>
          <w:szCs w:val="32"/>
        </w:rPr>
      </w:pPr>
      <w:r>
        <w:rPr>
          <w:rFonts w:hint="eastAsia" w:ascii="仿宋" w:hAnsi="仿宋" w:eastAsia="仿宋"/>
          <w:sz w:val="32"/>
          <w:szCs w:val="32"/>
        </w:rPr>
        <w:t xml:space="preserve">                               2019年</w:t>
      </w:r>
      <w:r>
        <w:rPr>
          <w:rFonts w:hint="eastAsia" w:ascii="仿宋" w:hAnsi="仿宋" w:eastAsia="仿宋"/>
          <w:sz w:val="32"/>
          <w:szCs w:val="32"/>
          <w:lang w:val="en-US" w:eastAsia="zh-CN"/>
        </w:rPr>
        <w:t>3</w:t>
      </w:r>
      <w:r>
        <w:rPr>
          <w:rFonts w:hint="eastAsia" w:ascii="仿宋" w:hAnsi="仿宋" w:eastAsia="仿宋"/>
          <w:sz w:val="32"/>
          <w:szCs w:val="32"/>
        </w:rPr>
        <w:t>月</w:t>
      </w:r>
      <w:r>
        <w:rPr>
          <w:rFonts w:hint="eastAsia" w:ascii="仿宋" w:hAnsi="仿宋" w:eastAsia="仿宋"/>
          <w:sz w:val="32"/>
          <w:szCs w:val="32"/>
          <w:lang w:val="en-US" w:eastAsia="zh-CN"/>
        </w:rPr>
        <w:t>2</w:t>
      </w:r>
      <w:r>
        <w:rPr>
          <w:rFonts w:hint="eastAsia" w:ascii="仿宋" w:hAnsi="仿宋" w:eastAsia="仿宋"/>
          <w:sz w:val="32"/>
          <w:szCs w:val="32"/>
        </w:rPr>
        <w:t>日</w:t>
      </w:r>
    </w:p>
    <w:p>
      <w:pPr>
        <w:spacing w:line="440" w:lineRule="exact"/>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C0B36D"/>
    <w:multiLevelType w:val="singleLevel"/>
    <w:tmpl w:val="E5C0B36D"/>
    <w:lvl w:ilvl="0" w:tentative="0">
      <w:start w:val="2"/>
      <w:numFmt w:val="chineseCounting"/>
      <w:suff w:val="nothing"/>
      <w:lvlText w:val="（%1）"/>
      <w:lvlJc w:val="left"/>
      <w:rPr>
        <w:rFonts w:hint="eastAsia"/>
      </w:rPr>
    </w:lvl>
  </w:abstractNum>
  <w:abstractNum w:abstractNumId="1">
    <w:nsid w:val="37325534"/>
    <w:multiLevelType w:val="singleLevel"/>
    <w:tmpl w:val="37325534"/>
    <w:lvl w:ilvl="0" w:tentative="0">
      <w:start w:val="5"/>
      <w:numFmt w:val="chineseCounting"/>
      <w:suff w:val="nothing"/>
      <w:lvlText w:val="%1、"/>
      <w:lvlJc w:val="left"/>
      <w:rPr>
        <w:rFonts w:hint="eastAsia"/>
      </w:rPr>
    </w:lvl>
  </w:abstractNum>
  <w:abstractNum w:abstractNumId="2">
    <w:nsid w:val="5A7286FF"/>
    <w:multiLevelType w:val="singleLevel"/>
    <w:tmpl w:val="5A7286FF"/>
    <w:lvl w:ilvl="0" w:tentative="0">
      <w:start w:val="1"/>
      <w:numFmt w:val="chineseCounting"/>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E34"/>
    <w:rsid w:val="00186795"/>
    <w:rsid w:val="001E20CE"/>
    <w:rsid w:val="002C2E34"/>
    <w:rsid w:val="00303C5E"/>
    <w:rsid w:val="00327031"/>
    <w:rsid w:val="003602B4"/>
    <w:rsid w:val="003C76D8"/>
    <w:rsid w:val="00402C49"/>
    <w:rsid w:val="00403ADE"/>
    <w:rsid w:val="0041226F"/>
    <w:rsid w:val="0051473D"/>
    <w:rsid w:val="00544D88"/>
    <w:rsid w:val="005A1041"/>
    <w:rsid w:val="005B02E7"/>
    <w:rsid w:val="007D310E"/>
    <w:rsid w:val="007D72E4"/>
    <w:rsid w:val="00935B7C"/>
    <w:rsid w:val="00A4184C"/>
    <w:rsid w:val="00A62E7C"/>
    <w:rsid w:val="00BE42ED"/>
    <w:rsid w:val="00C44C58"/>
    <w:rsid w:val="00CE0A32"/>
    <w:rsid w:val="00DE0968"/>
    <w:rsid w:val="00E92CF2"/>
    <w:rsid w:val="00ED02C9"/>
    <w:rsid w:val="03715189"/>
    <w:rsid w:val="073513FE"/>
    <w:rsid w:val="0A386B53"/>
    <w:rsid w:val="0C2F1607"/>
    <w:rsid w:val="1E2F190D"/>
    <w:rsid w:val="344A4B91"/>
    <w:rsid w:val="3B957B28"/>
    <w:rsid w:val="42413335"/>
    <w:rsid w:val="4395747D"/>
    <w:rsid w:val="4B207123"/>
    <w:rsid w:val="4E3C00DF"/>
    <w:rsid w:val="570B2CD3"/>
    <w:rsid w:val="63660204"/>
    <w:rsid w:val="7037481B"/>
    <w:rsid w:val="75C04147"/>
    <w:rsid w:val="7DE84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7"/>
    <w:qFormat/>
    <w:uiPriority w:val="0"/>
    <w:pPr>
      <w:keepNext/>
      <w:keepLines/>
      <w:spacing w:before="260" w:after="260" w:line="415" w:lineRule="auto"/>
      <w:outlineLvl w:val="2"/>
    </w:pPr>
    <w:rPr>
      <w:b/>
      <w:sz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标题 3 Char"/>
    <w:basedOn w:val="6"/>
    <w:link w:val="3"/>
    <w:uiPriority w:val="0"/>
    <w:rPr>
      <w:rFonts w:ascii="Times New Roman" w:hAnsi="Times New Roman" w:eastAsia="宋体" w:cs="Times New Roman"/>
      <w:b/>
      <w:sz w:val="32"/>
      <w:szCs w:val="20"/>
    </w:rPr>
  </w:style>
  <w:style w:type="character" w:customStyle="1" w:styleId="8">
    <w:name w:val="标题 2 Char"/>
    <w:basedOn w:val="6"/>
    <w:link w:val="2"/>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08461B-D71D-4D84-B29F-7CED6D7459F5}">
  <ds:schemaRefs/>
</ds:datastoreItem>
</file>

<file path=docProps/app.xml><?xml version="1.0" encoding="utf-8"?>
<Properties xmlns="http://schemas.openxmlformats.org/officeDocument/2006/extended-properties" xmlns:vt="http://schemas.openxmlformats.org/officeDocument/2006/docPropsVTypes">
  <Template>Normal</Template>
  <Pages>3</Pages>
  <Words>209</Words>
  <Characters>1192</Characters>
  <Lines>9</Lines>
  <Paragraphs>2</Paragraphs>
  <TotalTime>1</TotalTime>
  <ScaleCrop>false</ScaleCrop>
  <LinksUpToDate>false</LinksUpToDate>
  <CharactersWithSpaces>1399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2018-03-22T06:25:00Z</dcterms:created>
  <dc:creator>Administrator</dc:creator>
  <cp:lastModifiedBy>一笑</cp:lastModifiedBy>
  <cp:lastPrinted>2019-08-27T02:19:00Z</cp:lastPrinted>
  <dcterms:modified xsi:type="dcterms:W3CDTF">2021-06-03T15:17:11Z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