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宋体" w:eastAsia="仿宋_GB2312"/>
          <w:b/>
          <w:bCs w:val="0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/>
          <w:b/>
          <w:bCs w:val="0"/>
          <w:sz w:val="36"/>
          <w:szCs w:val="36"/>
          <w:highlight w:val="none"/>
        </w:rPr>
        <w:t>201</w:t>
      </w:r>
      <w:r>
        <w:rPr>
          <w:rFonts w:hint="eastAsia" w:ascii="黑体" w:hAnsi="宋体" w:eastAsia="黑体"/>
          <w:b/>
          <w:bCs w:val="0"/>
          <w:sz w:val="36"/>
          <w:szCs w:val="36"/>
          <w:highlight w:val="none"/>
          <w:lang w:val="en-US" w:eastAsia="zh-CN"/>
        </w:rPr>
        <w:t>8</w:t>
      </w:r>
      <w:r>
        <w:rPr>
          <w:rFonts w:ascii="黑体" w:hAnsi="宋体" w:eastAsia="黑体"/>
          <w:b/>
          <w:bCs w:val="0"/>
          <w:sz w:val="36"/>
          <w:szCs w:val="36"/>
          <w:highlight w:val="none"/>
        </w:rPr>
        <w:t>年度</w:t>
      </w:r>
      <w:r>
        <w:rPr>
          <w:rFonts w:hint="eastAsia"/>
          <w:b/>
          <w:bCs w:val="0"/>
          <w:sz w:val="36"/>
          <w:szCs w:val="36"/>
          <w:highlight w:val="none"/>
          <w:lang w:eastAsia="zh-CN"/>
        </w:rPr>
        <w:t>永州市冷水滩区双牌支渠管理所</w:t>
      </w:r>
    </w:p>
    <w:p>
      <w:pPr>
        <w:jc w:val="center"/>
        <w:outlineLvl w:val="0"/>
        <w:rPr>
          <w:rFonts w:ascii="黑体" w:hAnsi="宋体" w:eastAsia="黑体"/>
          <w:b/>
          <w:bCs w:val="0"/>
          <w:sz w:val="36"/>
          <w:szCs w:val="36"/>
        </w:rPr>
      </w:pPr>
      <w:r>
        <w:rPr>
          <w:rFonts w:ascii="黑体" w:hAnsi="宋体" w:eastAsia="黑体"/>
          <w:b/>
          <w:bCs w:val="0"/>
          <w:sz w:val="36"/>
          <w:szCs w:val="36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6" w:beforeLines="100"/>
        <w:ind w:firstLine="624" w:firstLineChars="200"/>
        <w:textAlignment w:val="auto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一、部门概况</w:t>
      </w:r>
      <w:bookmarkStart w:id="0" w:name="_GoBack"/>
      <w:bookmarkEnd w:id="0"/>
    </w:p>
    <w:p>
      <w:pPr>
        <w:ind w:firstLine="624" w:firstLineChars="200"/>
        <w:rPr>
          <w:rFonts w:hint="eastAsia"/>
          <w:b/>
        </w:rPr>
      </w:pPr>
      <w:r>
        <w:rPr>
          <w:b/>
        </w:rPr>
        <w:t>（一）部门基本情况。</w:t>
      </w:r>
    </w:p>
    <w:p>
      <w:pPr>
        <w:spacing w:line="520" w:lineRule="exact"/>
        <w:ind w:firstLine="62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/>
          <w:b/>
        </w:rPr>
        <w:t>1、机构设置：</w:t>
      </w:r>
      <w:r>
        <w:rPr>
          <w:rFonts w:hint="eastAsia" w:ascii="仿宋" w:hAnsi="仿宋" w:eastAsia="仿宋" w:cs="仿宋"/>
          <w:sz w:val="30"/>
          <w:szCs w:val="30"/>
        </w:rPr>
        <w:t>冷区双支管理所设五个渠道管理站。即八支渠管理站、九十支干管理站、十二支渠管理站、十支渠管理站、九支渠管理站。</w:t>
      </w:r>
    </w:p>
    <w:p>
      <w:pPr>
        <w:spacing w:line="490" w:lineRule="exact"/>
        <w:ind w:firstLine="624" w:firstLineChars="200"/>
        <w:rPr>
          <w:rFonts w:hint="eastAsia" w:ascii="宋体" w:hAnsi="宋体"/>
          <w:bCs/>
        </w:rPr>
      </w:pPr>
    </w:p>
    <w:p>
      <w:pPr>
        <w:spacing w:line="520" w:lineRule="exact"/>
        <w:ind w:firstLine="62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/>
          <w:b/>
        </w:rPr>
        <w:t>2、人员编制情况：</w:t>
      </w:r>
      <w:r>
        <w:rPr>
          <w:rFonts w:hint="eastAsia" w:ascii="仿宋" w:hAnsi="仿宋" w:eastAsia="仿宋" w:cs="仿宋"/>
          <w:b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编制47人，现有在职人员35人，退休人员20人。在职高级工17人，二级技师3人，中级工14人，九级级员1人。</w:t>
      </w:r>
    </w:p>
    <w:p>
      <w:pPr>
        <w:ind w:firstLine="312" w:firstLineChars="100"/>
        <w:rPr>
          <w:b/>
        </w:rPr>
      </w:pPr>
      <w:r>
        <w:rPr>
          <w:b/>
        </w:rPr>
        <w:t>（二）201</w:t>
      </w:r>
      <w:r>
        <w:rPr>
          <w:rFonts w:hint="eastAsia"/>
          <w:b/>
          <w:lang w:val="en-US" w:eastAsia="zh-CN"/>
        </w:rPr>
        <w:t>8</w:t>
      </w:r>
      <w:r>
        <w:rPr>
          <w:b/>
        </w:rPr>
        <w:t>年的重点工作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在预算在职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373.654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万元内，保障好单位正常运转和人员工资及福利发放完成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渠道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的维护管理，完成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渠道及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水库蓄水、防汛、供水及水量调度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2、十二支清淤12公里、九十支干渠维修 5.2公里。 </w:t>
      </w:r>
    </w:p>
    <w:p>
      <w:pPr>
        <w:spacing w:line="490" w:lineRule="exact"/>
        <w:ind w:firstLine="584" w:firstLineChars="200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3、八左支、十支渠及九支渠维修共0.7公里。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 </w:t>
      </w:r>
    </w:p>
    <w:p>
      <w:pPr>
        <w:ind w:firstLine="624" w:firstLineChars="200"/>
        <w:rPr>
          <w:b/>
        </w:rPr>
      </w:pPr>
      <w:r>
        <w:rPr>
          <w:b/>
        </w:rPr>
        <w:t>（三）部门整体支出情况</w:t>
      </w:r>
    </w:p>
    <w:p>
      <w:pPr>
        <w:ind w:firstLine="584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201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年支出合计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383.67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万元，其中基本工资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120.78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万元，绩效工资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88.52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绩效调增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13.865万元，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年度绩效评估奖金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74.1万元，综合工作年度考核26.315万元，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住房公积金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25.26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万元，乡镇工作补贴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12.66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万元，遗嘱生活费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2.67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，公用经费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19.5万元。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宋体" w:hAnsi="宋体" w:eastAsia="宋体"/>
          <w:b/>
        </w:rPr>
      </w:pPr>
      <w:r>
        <w:rPr>
          <w:rFonts w:ascii="宋体" w:hAnsi="宋体" w:eastAsia="宋体"/>
          <w:b/>
        </w:rPr>
        <w:t>二、部门整体支出管理及使用情况</w:t>
      </w:r>
    </w:p>
    <w:p>
      <w:pPr>
        <w:ind w:firstLine="624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/>
          <w:b/>
          <w:color w:val="auto"/>
          <w:lang w:eastAsia="zh-CN"/>
        </w:rPr>
        <w:t>（</w:t>
      </w:r>
      <w:r>
        <w:rPr>
          <w:rFonts w:hint="eastAsia"/>
          <w:b/>
          <w:color w:val="auto"/>
          <w:lang w:val="en-US" w:eastAsia="zh-CN"/>
        </w:rPr>
        <w:t>一）</w:t>
      </w:r>
      <w:r>
        <w:rPr>
          <w:b/>
          <w:color w:val="auto"/>
        </w:rPr>
        <w:t>基本支出情况。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201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年支出合计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383.67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万元，其中基本工资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120.78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万元，绩效工资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88.52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eastAsia="zh-CN"/>
        </w:rPr>
        <w:t>绩效调增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13.865万元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eastAsia="zh-CN"/>
        </w:rPr>
        <w:t>年度绩效评估奖金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74.1万元，综合工作年度考核26.315万元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住房公积金</w:t>
      </w:r>
      <w:r>
        <w:rPr>
          <w:rFonts w:hint="eastAsia" w:eastAsia="仿宋"/>
          <w:color w:val="auto"/>
          <w:lang w:val="en-US" w:eastAsia="zh-CN"/>
        </w:rPr>
        <w:t>25.26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万元，乡镇工作补贴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12.66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万元，遗嘱生活费</w:t>
      </w:r>
      <w:r>
        <w:rPr>
          <w:rFonts w:hint="eastAsia" w:eastAsia="仿宋"/>
          <w:color w:val="auto"/>
          <w:lang w:val="en-US" w:eastAsia="zh-CN"/>
        </w:rPr>
        <w:t>2.67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，公用经费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19.5万元。</w:t>
      </w:r>
    </w:p>
    <w:p>
      <w:pPr>
        <w:spacing w:line="480" w:lineRule="exact"/>
        <w:ind w:firstLine="612" w:firstLineChars="196"/>
        <w:rPr>
          <w:rFonts w:hint="eastAsia" w:ascii="仿宋" w:hAnsi="仿宋" w:eastAsia="仿宋" w:cs="仿宋"/>
          <w:b w:val="0"/>
          <w:bCs/>
          <w:color w:val="auto"/>
          <w:lang w:val="en-US" w:eastAsia="zh-CN"/>
        </w:rPr>
      </w:pPr>
      <w:r>
        <w:rPr>
          <w:rFonts w:hint="eastAsia"/>
          <w:b/>
          <w:color w:val="auto"/>
          <w:lang w:eastAsia="zh-CN"/>
        </w:rPr>
        <w:t>（</w:t>
      </w:r>
      <w:r>
        <w:rPr>
          <w:rFonts w:hint="eastAsia"/>
          <w:b/>
          <w:color w:val="auto"/>
          <w:lang w:val="en-US" w:eastAsia="zh-CN"/>
        </w:rPr>
        <w:t>二）</w:t>
      </w:r>
      <w:r>
        <w:rPr>
          <w:b/>
          <w:color w:val="auto"/>
        </w:rPr>
        <w:t>项目支出情况。</w:t>
      </w:r>
      <w:r>
        <w:rPr>
          <w:rFonts w:hint="eastAsia" w:ascii="仿宋" w:hAnsi="仿宋" w:eastAsia="仿宋" w:cs="仿宋"/>
          <w:b w:val="0"/>
          <w:bCs/>
          <w:color w:val="auto"/>
          <w:lang w:val="en-US" w:eastAsia="zh-CN"/>
        </w:rPr>
        <w:t>无项目支出</w:t>
      </w:r>
    </w:p>
    <w:p>
      <w:pPr>
        <w:ind w:firstLine="624" w:firstLineChars="200"/>
        <w:rPr>
          <w:b/>
          <w:color w:val="auto"/>
        </w:rPr>
      </w:pPr>
      <w:r>
        <w:rPr>
          <w:rFonts w:hint="eastAsia"/>
          <w:b/>
          <w:color w:val="auto"/>
          <w:lang w:eastAsia="zh-CN"/>
        </w:rPr>
        <w:t>（</w:t>
      </w:r>
      <w:r>
        <w:rPr>
          <w:rFonts w:hint="eastAsia"/>
          <w:b/>
          <w:color w:val="auto"/>
          <w:lang w:val="en-US" w:eastAsia="zh-CN"/>
        </w:rPr>
        <w:t>三）</w:t>
      </w:r>
      <w:r>
        <w:rPr>
          <w:b/>
          <w:color w:val="auto"/>
        </w:rPr>
        <w:t>“三公”经费情况</w:t>
      </w:r>
    </w:p>
    <w:p>
      <w:pPr>
        <w:ind w:firstLine="584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1．因公出国（境）费用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0万元</w:t>
      </w:r>
    </w:p>
    <w:p>
      <w:pPr>
        <w:ind w:firstLine="584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2．公务接待费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万元</w:t>
      </w:r>
    </w:p>
    <w:p>
      <w:pPr>
        <w:ind w:firstLine="584" w:firstLineChars="200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3．公务用车购置及运行费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  <w:lang w:val="en-US" w:eastAsia="zh-CN"/>
        </w:rPr>
        <w:t>三</w:t>
      </w:r>
      <w:r>
        <w:rPr>
          <w:rFonts w:ascii="宋体" w:hAnsi="宋体" w:eastAsia="宋体"/>
          <w:b/>
          <w:color w:val="auto"/>
        </w:rPr>
        <w:t>、部门整体支出绩效情况</w:t>
      </w:r>
    </w:p>
    <w:tbl>
      <w:tblPr>
        <w:tblStyle w:val="3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1265"/>
        <w:gridCol w:w="1144"/>
        <w:gridCol w:w="4594"/>
        <w:gridCol w:w="839"/>
        <w:gridCol w:w="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5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仿宋_GB2312" w:hAnsi="宋体" w:eastAsia="仿宋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在今年收支预算内，确保完成以下整体目标：                 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目标1：保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机构正常运转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，保障干部职工工资及福利发放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目标2：支渠灌溉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范围内农业抗旱供水、渠道防洪保安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渠道的维护维修及工程改造。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保障单位正常运转，保障干部职工工资福利发放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冷区支渠灌溉范围内农业抗旱供水、渠道防洪保安。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渠道的维护维修及工程改造。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各项指标值完成100%。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农业生产条件得到了改善，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保障农业抗旱供水。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>四、</w:t>
      </w:r>
      <w:r>
        <w:rPr>
          <w:rFonts w:hint="eastAsia" w:ascii="宋体" w:hAnsi="宋体" w:eastAsia="宋体"/>
          <w:b/>
        </w:rPr>
        <w:t>绩效自评得分情况及绩效等级</w:t>
      </w:r>
    </w:p>
    <w:p>
      <w:pPr>
        <w:numPr>
          <w:ilvl w:val="0"/>
          <w:numId w:val="0"/>
        </w:numPr>
        <w:spacing w:line="560" w:lineRule="exact"/>
        <w:ind w:firstLine="624" w:firstLineChars="200"/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2018年我办绩效自评得分为</w:t>
      </w:r>
      <w:r>
        <w:rPr>
          <w:rFonts w:hint="eastAsia" w:ascii="仿宋_GB2312" w:hAnsi="宋体"/>
          <w:kern w:val="2"/>
          <w:sz w:val="32"/>
          <w:szCs w:val="32"/>
          <w:lang w:val="en-US" w:eastAsia="zh-CN" w:bidi="ar-SA"/>
        </w:rPr>
        <w:t>92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分，绩效等级为优秀。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宋体" w:hAnsi="宋体" w:eastAsia="宋体"/>
          <w:b/>
        </w:rPr>
      </w:pPr>
      <w:r>
        <w:rPr>
          <w:rFonts w:ascii="宋体" w:hAnsi="宋体" w:eastAsia="宋体"/>
          <w:b/>
        </w:rPr>
        <w:t>存在的问题</w:t>
      </w:r>
      <w:r>
        <w:rPr>
          <w:rFonts w:hint="eastAsia" w:ascii="宋体" w:hAnsi="宋体" w:eastAsia="宋体"/>
          <w:b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>六</w:t>
      </w:r>
      <w:r>
        <w:rPr>
          <w:rFonts w:ascii="宋体" w:hAnsi="宋体" w:eastAsia="宋体"/>
          <w:b/>
        </w:rPr>
        <w:t>、改进措施和有关建议</w:t>
      </w:r>
      <w:r>
        <w:rPr>
          <w:rFonts w:hint="eastAsia" w:ascii="宋体" w:hAnsi="宋体" w:eastAsia="宋体"/>
          <w:b/>
        </w:rPr>
        <w:t>。</w:t>
      </w:r>
    </w:p>
    <w:p>
      <w:pPr>
        <w:ind w:firstLine="624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p>
      <w:pPr>
        <w:ind w:firstLine="624" w:firstLineChars="200"/>
        <w:rPr>
          <w:rFonts w:hint="eastAsia"/>
        </w:rPr>
      </w:pPr>
    </w:p>
    <w:p>
      <w:pPr>
        <w:ind w:firstLine="624" w:firstLineChars="200"/>
        <w:rPr>
          <w:rFonts w:hint="eastAsia"/>
        </w:rPr>
      </w:pPr>
    </w:p>
    <w:p>
      <w:pPr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/>
    <w:sectPr>
      <w:pgSz w:w="11907" w:h="16840"/>
      <w:pgMar w:top="2098" w:right="1588" w:bottom="1682" w:left="1588" w:header="1701" w:footer="1701" w:gutter="0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23D11"/>
    <w:multiLevelType w:val="singleLevel"/>
    <w:tmpl w:val="8F423D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F4A49"/>
    <w:rsid w:val="730D79E0"/>
    <w:rsid w:val="7B8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2021-06-04T00:51:00Z</dcterms:created>
  <dc:creator>Administrator</dc:creator>
  <cp:lastModifiedBy>Administrator</cp:lastModifiedBy>
  <dcterms:modified xsi:type="dcterms:W3CDTF">2021-06-18T09:03:16Z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4333331443C74ED991B1597BB302AB38</vt:lpwstr>
  </property>
</Properties>
</file>