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9C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atLeast"/>
        <w:ind w:left="0" w:right="0" w:firstLine="880" w:firstLineChars="200"/>
        <w:jc w:val="center"/>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44"/>
          <w:szCs w:val="44"/>
          <w:shd w:val="clear" w:color="auto" w:fill="FFFFFF"/>
        </w:rPr>
        <w:t>冷水滩区残疾人联合会</w:t>
      </w:r>
    </w:p>
    <w:p w14:paraId="5F734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atLeast"/>
        <w:ind w:left="0" w:right="0" w:firstLine="880" w:firstLineChars="200"/>
        <w:jc w:val="center"/>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44"/>
          <w:szCs w:val="44"/>
          <w:shd w:val="clear" w:color="auto" w:fill="FFFFFF"/>
        </w:rPr>
        <w:t>2018年度部门整体支出绩效自评报告</w:t>
      </w:r>
    </w:p>
    <w:p w14:paraId="4622F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 </w:t>
      </w:r>
    </w:p>
    <w:p w14:paraId="6E68F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left"/>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   我会按照《关于开展2018年度预算绩效自评工作的通知》（冷财绩[2018]2号）文件要求，从预算配置、预算执行、预算管理、职责履行及履行效益等方面，客观公正地进行了自评。现将有关自评情况报告如下：</w:t>
      </w:r>
    </w:p>
    <w:p w14:paraId="07F1B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一、部门概况</w:t>
      </w:r>
      <w:bookmarkStart w:id="0" w:name="_GoBack"/>
      <w:bookmarkEnd w:id="0"/>
    </w:p>
    <w:p w14:paraId="2B257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（一）部门职责</w:t>
      </w:r>
    </w:p>
    <w:p w14:paraId="7A0CD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听取残疾人意见，反映残疾人要求，维护残疾人权益，为残疾人服务；团结教育残疾人遵纪守法，履行应尽的义务，发挥乐观进取精神，自尊、自信、自强、自立，为社会主义建设贡献力量；弘扬人道主义，宣传残疾人事业，沟通政府、社会与残疾人之间的联系，动员社会理解、尊重、关心帮助残疾人；开展残疾人康复、教育、劳动就业、扶贫、文化、科研、用品供应、福利、社会服务、无障碍设施和残疾预防工作，创造良好环境和条件扶助残疾人平等参与社会生活等。</w:t>
      </w:r>
    </w:p>
    <w:p w14:paraId="6B01E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（二）机构设置及人员情况</w:t>
      </w:r>
    </w:p>
    <w:p w14:paraId="332BB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1、机构设置：我单位是全额拨款的正科级事业单位，内设办公室、康复股、宣教就业股三个机构。有两个下属事业单位，分别是冷水滩区残疾人劳动就业服务所和冷水滩区残疾人辅助器具供应服务站，均为股级单位。</w:t>
      </w:r>
    </w:p>
    <w:p w14:paraId="3CC44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2人员编制情况：现有在职人员35人，退休人员4人.其中有正科级干部5人，副科级干部1人，科员1人。</w:t>
      </w:r>
    </w:p>
    <w:p w14:paraId="0702E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二、2018年的重点工作</w:t>
      </w:r>
    </w:p>
    <w:p w14:paraId="147CF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b w:val="0"/>
          <w:bCs w:val="0"/>
          <w:i w:val="0"/>
          <w:iCs w:val="0"/>
          <w:caps w:val="0"/>
          <w:color w:val="535353"/>
          <w:spacing w:val="0"/>
          <w:sz w:val="30"/>
          <w:szCs w:val="30"/>
          <w:shd w:val="clear" w:color="auto" w:fill="FFFFFF"/>
        </w:rPr>
        <w:t>1、进一步规范残疾人证发放管理工作。</w:t>
      </w:r>
      <w:r>
        <w:rPr>
          <w:rFonts w:hint="eastAsia" w:ascii="仿宋" w:hAnsi="仿宋" w:eastAsia="仿宋" w:cs="仿宋"/>
          <w:i w:val="0"/>
          <w:iCs w:val="0"/>
          <w:caps w:val="0"/>
          <w:color w:val="535353"/>
          <w:spacing w:val="0"/>
          <w:sz w:val="30"/>
          <w:szCs w:val="30"/>
          <w:shd w:val="clear" w:color="auto" w:fill="FFFFFF"/>
        </w:rPr>
        <w:t>确保了残联办证的规范性和公正性，保障了残疾人的合法权益，使符合条件的残疾人真正享受到国家各项惠民政策实施带来的好处。</w:t>
      </w:r>
    </w:p>
    <w:p w14:paraId="0FC20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w:t>
      </w:r>
      <w:r>
        <w:rPr>
          <w:rStyle w:val="5"/>
          <w:rFonts w:hint="eastAsia" w:ascii="仿宋" w:hAnsi="仿宋" w:eastAsia="仿宋" w:cs="仿宋"/>
          <w:b w:val="0"/>
          <w:bCs w:val="0"/>
          <w:i w:val="0"/>
          <w:iCs w:val="0"/>
          <w:caps w:val="0"/>
          <w:color w:val="000000"/>
          <w:spacing w:val="0"/>
          <w:sz w:val="30"/>
          <w:szCs w:val="30"/>
          <w:shd w:val="clear" w:color="auto" w:fill="FFFFFF"/>
        </w:rPr>
        <w:t>为民办实事工作开展成效显著。</w:t>
      </w:r>
      <w:r>
        <w:rPr>
          <w:rFonts w:hint="eastAsia" w:ascii="仿宋" w:hAnsi="仿宋" w:eastAsia="仿宋" w:cs="仿宋"/>
          <w:i w:val="0"/>
          <w:iCs w:val="0"/>
          <w:caps w:val="0"/>
          <w:color w:val="535353"/>
          <w:spacing w:val="0"/>
          <w:sz w:val="30"/>
          <w:szCs w:val="30"/>
          <w:shd w:val="clear" w:color="auto" w:fill="FFFFFF"/>
        </w:rPr>
        <w:t>为把为民办实事工作办好办实，我们加强了对为民办实事项目工程的组织领导，制订了《2018年冷水滩区残联民生微实事项目实施方案》，明确了目标要求、工作措施，分解了任务指标。2018年，全区经初步摸底调查有残疾儿童68人，经邀请市三医院、市中医院五官科等专业机构的专家筛查，共筛查出48名残疾儿童符合救助条件，并给予救助，超额完成了任务。</w:t>
      </w:r>
    </w:p>
    <w:p w14:paraId="73DBD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3、</w:t>
      </w:r>
      <w:r>
        <w:rPr>
          <w:rFonts w:hint="eastAsia" w:ascii="仿宋" w:hAnsi="仿宋" w:eastAsia="仿宋" w:cs="仿宋"/>
          <w:b w:val="0"/>
          <w:bCs w:val="0"/>
          <w:i w:val="0"/>
          <w:iCs w:val="0"/>
          <w:caps w:val="0"/>
          <w:color w:val="535353"/>
          <w:spacing w:val="0"/>
          <w:sz w:val="30"/>
          <w:szCs w:val="30"/>
          <w:shd w:val="clear" w:color="auto" w:fill="FFFFFF"/>
        </w:rPr>
        <w:t>各项康复工作任务完成好、质量高。</w:t>
      </w:r>
      <w:r>
        <w:rPr>
          <w:rFonts w:hint="eastAsia" w:ascii="仿宋" w:hAnsi="仿宋" w:eastAsia="仿宋" w:cs="仿宋"/>
          <w:i w:val="0"/>
          <w:iCs w:val="0"/>
          <w:caps w:val="0"/>
          <w:color w:val="535353"/>
          <w:spacing w:val="0"/>
          <w:sz w:val="30"/>
          <w:szCs w:val="30"/>
          <w:shd w:val="clear" w:color="auto" w:fill="FFFFFF"/>
        </w:rPr>
        <w:t>今年完成市残联下达我区的残疾人各项康复任务为2400例。</w:t>
      </w:r>
      <w:r>
        <w:rPr>
          <w:rFonts w:hint="eastAsia" w:ascii="仿宋" w:hAnsi="仿宋" w:eastAsia="仿宋" w:cs="仿宋"/>
          <w:b w:val="0"/>
          <w:bCs w:val="0"/>
          <w:i w:val="0"/>
          <w:iCs w:val="0"/>
          <w:caps w:val="0"/>
          <w:color w:val="535353"/>
          <w:spacing w:val="0"/>
          <w:sz w:val="30"/>
          <w:szCs w:val="30"/>
          <w:shd w:val="clear" w:color="auto" w:fill="FFFFFF"/>
        </w:rPr>
        <w:t>加强残疾人社区康复建设。</w:t>
      </w:r>
      <w:r>
        <w:rPr>
          <w:rFonts w:hint="eastAsia" w:ascii="仿宋" w:hAnsi="仿宋" w:eastAsia="仿宋" w:cs="仿宋"/>
          <w:i w:val="0"/>
          <w:iCs w:val="0"/>
          <w:caps w:val="0"/>
          <w:color w:val="535353"/>
          <w:spacing w:val="0"/>
          <w:sz w:val="30"/>
          <w:szCs w:val="30"/>
          <w:shd w:val="clear" w:color="auto" w:fill="FFFFFF"/>
        </w:rPr>
        <w:t>为了使残疾人“人人享有康复服务”，进一步促进我区残疾人社区康复工作全面深入持续发展，切实提升残疾人生活品质，今年我们党组高度重视残疾人社区康复工作，充分利用杨家桥街道狮子口社区现有资源建打造全市残疾人社区康复工作亮点，为抓好此项工作，我们专项列资5万元用于残疾人社区康复示范点建设的启动资金。</w:t>
      </w:r>
    </w:p>
    <w:p w14:paraId="4B675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4、</w:t>
      </w:r>
      <w:r>
        <w:rPr>
          <w:rFonts w:hint="eastAsia" w:ascii="仿宋" w:hAnsi="仿宋" w:eastAsia="仿宋" w:cs="仿宋"/>
          <w:b w:val="0"/>
          <w:bCs w:val="0"/>
          <w:i w:val="0"/>
          <w:iCs w:val="0"/>
          <w:caps w:val="0"/>
          <w:color w:val="535353"/>
          <w:spacing w:val="0"/>
          <w:sz w:val="30"/>
          <w:szCs w:val="30"/>
          <w:shd w:val="clear" w:color="auto" w:fill="FFFFFF"/>
        </w:rPr>
        <w:t>认真开展第二十三届“爱眼日”、第十九次“爱耳日”、第二十八次“全国助残日”活动、残疾人基本服务状况和需求信息数据动态更新的宣传报道工作。</w:t>
      </w:r>
      <w:r>
        <w:rPr>
          <w:rFonts w:hint="eastAsia" w:ascii="仿宋" w:hAnsi="仿宋" w:eastAsia="仿宋" w:cs="仿宋"/>
          <w:i w:val="0"/>
          <w:iCs w:val="0"/>
          <w:caps w:val="0"/>
          <w:color w:val="535353"/>
          <w:spacing w:val="0"/>
          <w:sz w:val="30"/>
          <w:szCs w:val="30"/>
          <w:shd w:val="clear" w:color="auto" w:fill="FFFFFF"/>
        </w:rPr>
        <w:t>为开展好活动，我们在活动期间采取加大宣传力度的方式，进行广泛宣传动员，共发放宣传资料26800份，悬挂横幅52副，发放轮椅150台，助听器65台，走访慰问特困残疾残疾人100人，发放慰问金4万元，协同爱尔眼科医院免费为65名患者进行检查，切实为残疾人解决实际困难。</w:t>
      </w:r>
    </w:p>
    <w:p w14:paraId="23B427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三、部门整体支出管理情况</w:t>
      </w:r>
    </w:p>
    <w:p w14:paraId="13C2D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（一）2018年部门整体支出预算情况</w:t>
      </w:r>
    </w:p>
    <w:p w14:paraId="0ECB9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（1）全年收入情况</w:t>
      </w:r>
    </w:p>
    <w:p w14:paraId="371F59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区残联部门2018年度一般公共预算基本支出，收入总计621.57万元，具体明细如下：</w:t>
      </w:r>
    </w:p>
    <w:tbl>
      <w:tblPr>
        <w:tblStyle w:val="3"/>
        <w:tblW w:w="8612" w:type="dxa"/>
        <w:tblInd w:w="0" w:type="dxa"/>
        <w:shd w:val="clear" w:color="auto" w:fill="FFFFFF"/>
        <w:tblLayout w:type="autofit"/>
        <w:tblCellMar>
          <w:top w:w="0" w:type="dxa"/>
          <w:left w:w="0" w:type="dxa"/>
          <w:bottom w:w="0" w:type="dxa"/>
          <w:right w:w="0" w:type="dxa"/>
        </w:tblCellMar>
      </w:tblPr>
      <w:tblGrid>
        <w:gridCol w:w="516"/>
        <w:gridCol w:w="516"/>
        <w:gridCol w:w="516"/>
        <w:gridCol w:w="4210"/>
        <w:gridCol w:w="2016"/>
        <w:gridCol w:w="2016"/>
        <w:gridCol w:w="16"/>
      </w:tblGrid>
      <w:tr w14:paraId="33A73E6A">
        <w:tblPrEx>
          <w:tblCellMar>
            <w:top w:w="0" w:type="dxa"/>
            <w:left w:w="0" w:type="dxa"/>
            <w:bottom w:w="0" w:type="dxa"/>
            <w:right w:w="0" w:type="dxa"/>
          </w:tblCellMar>
        </w:tblPrEx>
        <w:trPr>
          <w:trHeight w:val="300" w:hRule="atLeast"/>
        </w:trPr>
        <w:tc>
          <w:tcPr>
            <w:tcW w:w="5012" w:type="dxa"/>
            <w:gridSpan w:val="4"/>
            <w:shd w:val="clear" w:color="auto" w:fill="FFFFFF"/>
            <w:noWrap/>
            <w:tcMar>
              <w:left w:w="108" w:type="dxa"/>
              <w:right w:w="108" w:type="dxa"/>
            </w:tcMar>
            <w:vAlign w:val="bottom"/>
          </w:tcPr>
          <w:p w14:paraId="49573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编制单位：冷水滩区残联</w:t>
            </w:r>
          </w:p>
        </w:tc>
        <w:tc>
          <w:tcPr>
            <w:tcW w:w="1800" w:type="dxa"/>
            <w:shd w:val="clear" w:color="auto" w:fill="FFFFFF"/>
            <w:noWrap/>
            <w:tcMar>
              <w:left w:w="108" w:type="dxa"/>
              <w:right w:w="108" w:type="dxa"/>
            </w:tcMar>
            <w:vAlign w:val="bottom"/>
          </w:tcPr>
          <w:p w14:paraId="182D3E57">
            <w:pPr>
              <w:rPr>
                <w:rFonts w:hint="eastAsia" w:ascii="仿宋" w:hAnsi="仿宋" w:eastAsia="仿宋" w:cs="仿宋"/>
                <w:i w:val="0"/>
                <w:iCs w:val="0"/>
                <w:caps w:val="0"/>
                <w:color w:val="535353"/>
                <w:spacing w:val="0"/>
                <w:sz w:val="22"/>
                <w:szCs w:val="22"/>
              </w:rPr>
            </w:pPr>
          </w:p>
        </w:tc>
        <w:tc>
          <w:tcPr>
            <w:tcW w:w="1800" w:type="dxa"/>
            <w:shd w:val="clear" w:color="auto" w:fill="FFFFFF"/>
            <w:noWrap/>
            <w:tcMar>
              <w:left w:w="108" w:type="dxa"/>
              <w:right w:w="108" w:type="dxa"/>
            </w:tcMar>
            <w:vAlign w:val="bottom"/>
          </w:tcPr>
          <w:p w14:paraId="55890253">
            <w:pPr>
              <w:rPr>
                <w:rFonts w:hint="eastAsia" w:ascii="仿宋" w:hAnsi="仿宋" w:eastAsia="仿宋" w:cs="仿宋"/>
                <w:i w:val="0"/>
                <w:iCs w:val="0"/>
                <w:caps w:val="0"/>
                <w:color w:val="535353"/>
                <w:spacing w:val="0"/>
                <w:sz w:val="22"/>
                <w:szCs w:val="22"/>
              </w:rPr>
            </w:pPr>
          </w:p>
        </w:tc>
        <w:tc>
          <w:tcPr>
            <w:tcW w:w="6" w:type="dxa"/>
            <w:tcBorders>
              <w:top w:val="nil"/>
              <w:left w:val="nil"/>
              <w:bottom w:val="nil"/>
              <w:right w:val="nil"/>
            </w:tcBorders>
            <w:shd w:val="clear" w:color="auto" w:fill="FFFFFF"/>
            <w:noWrap w:val="0"/>
            <w:vAlign w:val="center"/>
          </w:tcPr>
          <w:p w14:paraId="2D96A747">
            <w:pPr>
              <w:rPr>
                <w:rFonts w:hint="eastAsia" w:ascii="仿宋" w:hAnsi="仿宋" w:eastAsia="仿宋" w:cs="仿宋"/>
                <w:i w:val="0"/>
                <w:iCs w:val="0"/>
                <w:caps w:val="0"/>
                <w:color w:val="535353"/>
                <w:spacing w:val="0"/>
                <w:sz w:val="22"/>
                <w:szCs w:val="22"/>
              </w:rPr>
            </w:pPr>
          </w:p>
        </w:tc>
      </w:tr>
      <w:tr w14:paraId="04B5526D">
        <w:tblPrEx>
          <w:shd w:val="clear" w:color="auto" w:fill="FFFFFF"/>
          <w:tblCellMar>
            <w:top w:w="0" w:type="dxa"/>
            <w:left w:w="0" w:type="dxa"/>
            <w:bottom w:w="0" w:type="dxa"/>
            <w:right w:w="0" w:type="dxa"/>
          </w:tblCellMar>
        </w:tblPrEx>
        <w:trPr>
          <w:trHeight w:val="308" w:hRule="atLeast"/>
        </w:trPr>
        <w:tc>
          <w:tcPr>
            <w:tcW w:w="5012" w:type="dxa"/>
            <w:gridSpan w:val="4"/>
            <w:tcBorders>
              <w:top w:val="single" w:color="000000" w:sz="8" w:space="0"/>
              <w:left w:val="single" w:color="000000" w:sz="8" w:space="0"/>
              <w:bottom w:val="single" w:color="000000" w:sz="8" w:space="0"/>
              <w:right w:val="single" w:color="000000" w:sz="8" w:space="0"/>
            </w:tcBorders>
            <w:shd w:val="clear" w:color="auto" w:fill="C0C0C0"/>
            <w:noWrap/>
            <w:tcMar>
              <w:left w:w="108" w:type="dxa"/>
              <w:right w:w="108" w:type="dxa"/>
            </w:tcMar>
            <w:vAlign w:val="center"/>
          </w:tcPr>
          <w:p w14:paraId="19B9F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项目</w:t>
            </w:r>
          </w:p>
        </w:tc>
        <w:tc>
          <w:tcPr>
            <w:tcW w:w="1800" w:type="dxa"/>
            <w:vMerge w:val="restart"/>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1AD00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本年收入合计</w:t>
            </w:r>
          </w:p>
        </w:tc>
        <w:tc>
          <w:tcPr>
            <w:tcW w:w="1800" w:type="dxa"/>
            <w:vMerge w:val="restart"/>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722C1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财政拨款收入</w:t>
            </w:r>
          </w:p>
        </w:tc>
        <w:tc>
          <w:tcPr>
            <w:tcW w:w="6" w:type="dxa"/>
            <w:tcBorders>
              <w:top w:val="nil"/>
              <w:left w:val="nil"/>
              <w:bottom w:val="nil"/>
              <w:right w:val="nil"/>
            </w:tcBorders>
            <w:shd w:val="clear" w:color="auto" w:fill="FFFFFF"/>
            <w:noWrap w:val="0"/>
            <w:vAlign w:val="center"/>
          </w:tcPr>
          <w:p w14:paraId="1E28E2EF">
            <w:pPr>
              <w:rPr>
                <w:rFonts w:hint="eastAsia" w:ascii="仿宋" w:hAnsi="仿宋" w:eastAsia="仿宋" w:cs="仿宋"/>
                <w:i w:val="0"/>
                <w:iCs w:val="0"/>
                <w:caps w:val="0"/>
                <w:color w:val="535353"/>
                <w:spacing w:val="0"/>
                <w:sz w:val="22"/>
                <w:szCs w:val="22"/>
              </w:rPr>
            </w:pPr>
          </w:p>
        </w:tc>
      </w:tr>
      <w:tr w14:paraId="5391E16D">
        <w:tblPrEx>
          <w:shd w:val="clear" w:color="auto" w:fill="FFFFFF"/>
          <w:tblCellMar>
            <w:top w:w="0" w:type="dxa"/>
            <w:left w:w="0" w:type="dxa"/>
            <w:bottom w:w="0" w:type="dxa"/>
            <w:right w:w="0" w:type="dxa"/>
          </w:tblCellMar>
        </w:tblPrEx>
        <w:trPr>
          <w:trHeight w:val="616" w:hRule="atLeast"/>
        </w:trPr>
        <w:tc>
          <w:tcPr>
            <w:tcW w:w="802" w:type="dxa"/>
            <w:gridSpan w:val="3"/>
            <w:vMerge w:val="restart"/>
            <w:tcBorders>
              <w:top w:val="nil"/>
              <w:left w:val="single" w:color="000000" w:sz="8" w:space="0"/>
              <w:bottom w:val="single" w:color="000000" w:sz="8" w:space="0"/>
              <w:right w:val="single" w:color="000000" w:sz="8" w:space="0"/>
            </w:tcBorders>
            <w:shd w:val="clear" w:color="auto" w:fill="C0C0C0"/>
            <w:noWrap w:val="0"/>
            <w:tcMar>
              <w:left w:w="108" w:type="dxa"/>
              <w:right w:w="108" w:type="dxa"/>
            </w:tcMar>
            <w:vAlign w:val="center"/>
          </w:tcPr>
          <w:p w14:paraId="78E43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支出功能分类科目编码</w:t>
            </w:r>
          </w:p>
        </w:tc>
        <w:tc>
          <w:tcPr>
            <w:tcW w:w="4210" w:type="dxa"/>
            <w:vMerge w:val="restart"/>
            <w:tcBorders>
              <w:top w:val="nil"/>
              <w:left w:val="nil"/>
              <w:bottom w:val="single" w:color="000000" w:sz="8" w:space="0"/>
              <w:right w:val="single" w:color="000000" w:sz="8" w:space="0"/>
            </w:tcBorders>
            <w:shd w:val="clear" w:color="auto" w:fill="C0C0C0"/>
            <w:noWrap/>
            <w:tcMar>
              <w:left w:w="108" w:type="dxa"/>
              <w:right w:w="108" w:type="dxa"/>
            </w:tcMar>
            <w:vAlign w:val="center"/>
          </w:tcPr>
          <w:p w14:paraId="7599C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科目名称</w:t>
            </w: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4B9D34C2">
            <w:pPr>
              <w:rPr>
                <w:rFonts w:hint="eastAsia" w:ascii="仿宋" w:hAnsi="仿宋" w:eastAsia="仿宋" w:cs="仿宋"/>
                <w:i w:val="0"/>
                <w:iCs w:val="0"/>
                <w:caps w:val="0"/>
                <w:color w:val="535353"/>
                <w:spacing w:val="0"/>
                <w:sz w:val="22"/>
                <w:szCs w:val="22"/>
              </w:rPr>
            </w:pP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1B91D78A">
            <w:pPr>
              <w:rPr>
                <w:rFonts w:hint="eastAsia" w:ascii="仿宋" w:hAnsi="仿宋" w:eastAsia="仿宋" w:cs="仿宋"/>
                <w:i w:val="0"/>
                <w:iCs w:val="0"/>
                <w:caps w:val="0"/>
                <w:color w:val="535353"/>
                <w:spacing w:val="0"/>
                <w:sz w:val="22"/>
                <w:szCs w:val="22"/>
              </w:rPr>
            </w:pPr>
          </w:p>
        </w:tc>
        <w:tc>
          <w:tcPr>
            <w:tcW w:w="6" w:type="dxa"/>
            <w:tcBorders>
              <w:top w:val="nil"/>
              <w:left w:val="nil"/>
              <w:bottom w:val="nil"/>
              <w:right w:val="nil"/>
            </w:tcBorders>
            <w:shd w:val="clear" w:color="auto" w:fill="FFFFFF"/>
            <w:noWrap w:val="0"/>
            <w:vAlign w:val="center"/>
          </w:tcPr>
          <w:p w14:paraId="77A86389">
            <w:pPr>
              <w:rPr>
                <w:rFonts w:hint="eastAsia" w:ascii="仿宋" w:hAnsi="仿宋" w:eastAsia="仿宋" w:cs="仿宋"/>
                <w:i w:val="0"/>
                <w:iCs w:val="0"/>
                <w:caps w:val="0"/>
                <w:color w:val="535353"/>
                <w:spacing w:val="0"/>
                <w:sz w:val="22"/>
                <w:szCs w:val="22"/>
              </w:rPr>
            </w:pPr>
          </w:p>
        </w:tc>
      </w:tr>
      <w:tr w14:paraId="0F2DF0F3">
        <w:tblPrEx>
          <w:shd w:val="clear" w:color="auto" w:fill="FFFFFF"/>
          <w:tblCellMar>
            <w:top w:w="0" w:type="dxa"/>
            <w:left w:w="0" w:type="dxa"/>
            <w:bottom w:w="0" w:type="dxa"/>
            <w:right w:w="0" w:type="dxa"/>
          </w:tblCellMar>
        </w:tblPrEx>
        <w:trPr>
          <w:trHeight w:val="616" w:hRule="atLeast"/>
        </w:trPr>
        <w:tc>
          <w:tcPr>
            <w:tcW w:w="802" w:type="dxa"/>
            <w:gridSpan w:val="3"/>
            <w:vMerge w:val="continue"/>
            <w:tcBorders>
              <w:top w:val="nil"/>
              <w:left w:val="single" w:color="000000" w:sz="8" w:space="0"/>
              <w:bottom w:val="single" w:color="000000" w:sz="8" w:space="0"/>
              <w:right w:val="single" w:color="000000" w:sz="8" w:space="0"/>
            </w:tcBorders>
            <w:shd w:val="clear" w:color="auto" w:fill="C0C0C0"/>
            <w:noWrap w:val="0"/>
            <w:tcMar>
              <w:left w:w="108" w:type="dxa"/>
              <w:right w:w="108" w:type="dxa"/>
            </w:tcMar>
            <w:vAlign w:val="center"/>
          </w:tcPr>
          <w:p w14:paraId="1A74885E">
            <w:pPr>
              <w:rPr>
                <w:rFonts w:hint="eastAsia" w:ascii="仿宋" w:hAnsi="仿宋" w:eastAsia="仿宋" w:cs="仿宋"/>
                <w:i w:val="0"/>
                <w:iCs w:val="0"/>
                <w:caps w:val="0"/>
                <w:color w:val="535353"/>
                <w:spacing w:val="0"/>
                <w:sz w:val="22"/>
                <w:szCs w:val="22"/>
              </w:rPr>
            </w:pPr>
          </w:p>
        </w:tc>
        <w:tc>
          <w:tcPr>
            <w:tcW w:w="4210" w:type="dxa"/>
            <w:vMerge w:val="continue"/>
            <w:tcBorders>
              <w:top w:val="nil"/>
              <w:left w:val="nil"/>
              <w:bottom w:val="single" w:color="000000" w:sz="8" w:space="0"/>
              <w:right w:val="single" w:color="000000" w:sz="8" w:space="0"/>
            </w:tcBorders>
            <w:shd w:val="clear" w:color="auto" w:fill="C0C0C0"/>
            <w:noWrap/>
            <w:tcMar>
              <w:left w:w="108" w:type="dxa"/>
              <w:right w:w="108" w:type="dxa"/>
            </w:tcMar>
            <w:vAlign w:val="center"/>
          </w:tcPr>
          <w:p w14:paraId="066F1EB0">
            <w:pPr>
              <w:rPr>
                <w:rFonts w:hint="eastAsia" w:ascii="仿宋" w:hAnsi="仿宋" w:eastAsia="仿宋" w:cs="仿宋"/>
                <w:i w:val="0"/>
                <w:iCs w:val="0"/>
                <w:caps w:val="0"/>
                <w:color w:val="535353"/>
                <w:spacing w:val="0"/>
                <w:sz w:val="22"/>
                <w:szCs w:val="22"/>
              </w:rPr>
            </w:pP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13149207">
            <w:pPr>
              <w:rPr>
                <w:rFonts w:hint="eastAsia" w:ascii="仿宋" w:hAnsi="仿宋" w:eastAsia="仿宋" w:cs="仿宋"/>
                <w:i w:val="0"/>
                <w:iCs w:val="0"/>
                <w:caps w:val="0"/>
                <w:color w:val="535353"/>
                <w:spacing w:val="0"/>
                <w:sz w:val="22"/>
                <w:szCs w:val="22"/>
              </w:rPr>
            </w:pP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564A7DAF">
            <w:pPr>
              <w:rPr>
                <w:rFonts w:hint="eastAsia" w:ascii="仿宋" w:hAnsi="仿宋" w:eastAsia="仿宋" w:cs="仿宋"/>
                <w:i w:val="0"/>
                <w:iCs w:val="0"/>
                <w:caps w:val="0"/>
                <w:color w:val="535353"/>
                <w:spacing w:val="0"/>
                <w:sz w:val="22"/>
                <w:szCs w:val="22"/>
              </w:rPr>
            </w:pPr>
          </w:p>
        </w:tc>
        <w:tc>
          <w:tcPr>
            <w:tcW w:w="6" w:type="dxa"/>
            <w:tcBorders>
              <w:top w:val="nil"/>
              <w:left w:val="nil"/>
              <w:bottom w:val="nil"/>
              <w:right w:val="nil"/>
            </w:tcBorders>
            <w:shd w:val="clear" w:color="auto" w:fill="FFFFFF"/>
            <w:noWrap w:val="0"/>
            <w:vAlign w:val="center"/>
          </w:tcPr>
          <w:p w14:paraId="49539ED3">
            <w:pPr>
              <w:rPr>
                <w:rFonts w:hint="eastAsia" w:ascii="仿宋" w:hAnsi="仿宋" w:eastAsia="仿宋" w:cs="仿宋"/>
                <w:i w:val="0"/>
                <w:iCs w:val="0"/>
                <w:caps w:val="0"/>
                <w:color w:val="535353"/>
                <w:spacing w:val="0"/>
                <w:sz w:val="22"/>
                <w:szCs w:val="22"/>
              </w:rPr>
            </w:pPr>
          </w:p>
        </w:tc>
      </w:tr>
      <w:tr w14:paraId="280930B0">
        <w:tblPrEx>
          <w:tblCellMar>
            <w:top w:w="0" w:type="dxa"/>
            <w:left w:w="0" w:type="dxa"/>
            <w:bottom w:w="0" w:type="dxa"/>
            <w:right w:w="0" w:type="dxa"/>
          </w:tblCellMar>
        </w:tblPrEx>
        <w:trPr>
          <w:trHeight w:val="616" w:hRule="atLeast"/>
        </w:trPr>
        <w:tc>
          <w:tcPr>
            <w:tcW w:w="802" w:type="dxa"/>
            <w:gridSpan w:val="3"/>
            <w:vMerge w:val="continue"/>
            <w:tcBorders>
              <w:top w:val="nil"/>
              <w:left w:val="single" w:color="000000" w:sz="8" w:space="0"/>
              <w:bottom w:val="single" w:color="000000" w:sz="8" w:space="0"/>
              <w:right w:val="single" w:color="000000" w:sz="8" w:space="0"/>
            </w:tcBorders>
            <w:shd w:val="clear" w:color="auto" w:fill="C0C0C0"/>
            <w:noWrap w:val="0"/>
            <w:tcMar>
              <w:left w:w="108" w:type="dxa"/>
              <w:right w:w="108" w:type="dxa"/>
            </w:tcMar>
            <w:vAlign w:val="center"/>
          </w:tcPr>
          <w:p w14:paraId="3BED82A6">
            <w:pPr>
              <w:rPr>
                <w:rFonts w:hint="eastAsia" w:ascii="仿宋" w:hAnsi="仿宋" w:eastAsia="仿宋" w:cs="仿宋"/>
                <w:i w:val="0"/>
                <w:iCs w:val="0"/>
                <w:caps w:val="0"/>
                <w:color w:val="535353"/>
                <w:spacing w:val="0"/>
                <w:sz w:val="22"/>
                <w:szCs w:val="22"/>
              </w:rPr>
            </w:pPr>
          </w:p>
        </w:tc>
        <w:tc>
          <w:tcPr>
            <w:tcW w:w="4210" w:type="dxa"/>
            <w:vMerge w:val="continue"/>
            <w:tcBorders>
              <w:top w:val="nil"/>
              <w:left w:val="nil"/>
              <w:bottom w:val="single" w:color="000000" w:sz="8" w:space="0"/>
              <w:right w:val="single" w:color="000000" w:sz="8" w:space="0"/>
            </w:tcBorders>
            <w:shd w:val="clear" w:color="auto" w:fill="C0C0C0"/>
            <w:noWrap/>
            <w:tcMar>
              <w:left w:w="108" w:type="dxa"/>
              <w:right w:w="108" w:type="dxa"/>
            </w:tcMar>
            <w:vAlign w:val="center"/>
          </w:tcPr>
          <w:p w14:paraId="422E1877">
            <w:pPr>
              <w:rPr>
                <w:rFonts w:hint="eastAsia" w:ascii="仿宋" w:hAnsi="仿宋" w:eastAsia="仿宋" w:cs="仿宋"/>
                <w:i w:val="0"/>
                <w:iCs w:val="0"/>
                <w:caps w:val="0"/>
                <w:color w:val="535353"/>
                <w:spacing w:val="0"/>
                <w:sz w:val="22"/>
                <w:szCs w:val="22"/>
              </w:rPr>
            </w:pP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0CE94177">
            <w:pPr>
              <w:rPr>
                <w:rFonts w:hint="eastAsia" w:ascii="仿宋" w:hAnsi="仿宋" w:eastAsia="仿宋" w:cs="仿宋"/>
                <w:i w:val="0"/>
                <w:iCs w:val="0"/>
                <w:caps w:val="0"/>
                <w:color w:val="535353"/>
                <w:spacing w:val="0"/>
                <w:sz w:val="22"/>
                <w:szCs w:val="22"/>
              </w:rPr>
            </w:pPr>
          </w:p>
        </w:tc>
        <w:tc>
          <w:tcPr>
            <w:tcW w:w="1800" w:type="dxa"/>
            <w:vMerge w:val="continue"/>
            <w:tcBorders>
              <w:top w:val="single" w:color="000000" w:sz="8" w:space="0"/>
              <w:left w:val="nil"/>
              <w:bottom w:val="single" w:color="000000" w:sz="8" w:space="0"/>
              <w:right w:val="single" w:color="000000" w:sz="8" w:space="0"/>
            </w:tcBorders>
            <w:shd w:val="clear" w:color="auto" w:fill="C0C0C0"/>
            <w:noWrap w:val="0"/>
            <w:tcMar>
              <w:left w:w="108" w:type="dxa"/>
              <w:right w:w="108" w:type="dxa"/>
            </w:tcMar>
            <w:vAlign w:val="center"/>
          </w:tcPr>
          <w:p w14:paraId="2C206B93">
            <w:pPr>
              <w:rPr>
                <w:rFonts w:hint="eastAsia" w:ascii="仿宋" w:hAnsi="仿宋" w:eastAsia="仿宋" w:cs="仿宋"/>
                <w:i w:val="0"/>
                <w:iCs w:val="0"/>
                <w:caps w:val="0"/>
                <w:color w:val="535353"/>
                <w:spacing w:val="0"/>
                <w:sz w:val="22"/>
                <w:szCs w:val="22"/>
              </w:rPr>
            </w:pPr>
          </w:p>
        </w:tc>
        <w:tc>
          <w:tcPr>
            <w:tcW w:w="6" w:type="dxa"/>
            <w:tcBorders>
              <w:top w:val="nil"/>
              <w:left w:val="nil"/>
              <w:bottom w:val="nil"/>
              <w:right w:val="nil"/>
            </w:tcBorders>
            <w:shd w:val="clear" w:color="auto" w:fill="FFFFFF"/>
            <w:noWrap w:val="0"/>
            <w:vAlign w:val="center"/>
          </w:tcPr>
          <w:p w14:paraId="40977F52">
            <w:pPr>
              <w:rPr>
                <w:rFonts w:hint="eastAsia" w:ascii="仿宋" w:hAnsi="仿宋" w:eastAsia="仿宋" w:cs="仿宋"/>
                <w:i w:val="0"/>
                <w:iCs w:val="0"/>
                <w:caps w:val="0"/>
                <w:color w:val="535353"/>
                <w:spacing w:val="0"/>
                <w:sz w:val="22"/>
                <w:szCs w:val="22"/>
              </w:rPr>
            </w:pPr>
          </w:p>
        </w:tc>
      </w:tr>
      <w:tr w14:paraId="45C83EB4">
        <w:tblPrEx>
          <w:tblCellMar>
            <w:top w:w="0" w:type="dxa"/>
            <w:left w:w="0" w:type="dxa"/>
            <w:bottom w:w="0" w:type="dxa"/>
            <w:right w:w="0" w:type="dxa"/>
          </w:tblCellMar>
        </w:tblPrEx>
        <w:trPr>
          <w:trHeight w:val="308" w:hRule="atLeast"/>
        </w:trPr>
        <w:tc>
          <w:tcPr>
            <w:tcW w:w="272" w:type="dxa"/>
            <w:vMerge w:val="restart"/>
            <w:tcBorders>
              <w:top w:val="nil"/>
              <w:left w:val="single" w:color="000000" w:sz="8" w:space="0"/>
              <w:bottom w:val="single" w:color="000000" w:sz="8" w:space="0"/>
              <w:right w:val="single" w:color="000000" w:sz="8" w:space="0"/>
            </w:tcBorders>
            <w:shd w:val="clear" w:color="auto" w:fill="C0C0C0"/>
            <w:noWrap/>
            <w:tcMar>
              <w:left w:w="108" w:type="dxa"/>
              <w:right w:w="108" w:type="dxa"/>
            </w:tcMar>
            <w:vAlign w:val="center"/>
          </w:tcPr>
          <w:p w14:paraId="76261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类</w:t>
            </w:r>
          </w:p>
        </w:tc>
        <w:tc>
          <w:tcPr>
            <w:tcW w:w="267" w:type="dxa"/>
            <w:vMerge w:val="restart"/>
            <w:tcBorders>
              <w:top w:val="nil"/>
              <w:left w:val="nil"/>
              <w:bottom w:val="single" w:color="000000" w:sz="8" w:space="0"/>
              <w:right w:val="single" w:color="000000" w:sz="8" w:space="0"/>
            </w:tcBorders>
            <w:shd w:val="clear" w:color="auto" w:fill="C0C0C0"/>
            <w:noWrap/>
            <w:tcMar>
              <w:left w:w="108" w:type="dxa"/>
              <w:right w:w="108" w:type="dxa"/>
            </w:tcMar>
            <w:vAlign w:val="center"/>
          </w:tcPr>
          <w:p w14:paraId="7948F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款</w:t>
            </w:r>
          </w:p>
        </w:tc>
        <w:tc>
          <w:tcPr>
            <w:tcW w:w="263" w:type="dxa"/>
            <w:vMerge w:val="restart"/>
            <w:tcBorders>
              <w:top w:val="nil"/>
              <w:left w:val="nil"/>
              <w:bottom w:val="single" w:color="000000" w:sz="8" w:space="0"/>
              <w:right w:val="single" w:color="000000" w:sz="8" w:space="0"/>
            </w:tcBorders>
            <w:shd w:val="clear" w:color="auto" w:fill="C0C0C0"/>
            <w:noWrap/>
            <w:tcMar>
              <w:left w:w="108" w:type="dxa"/>
              <w:right w:w="108" w:type="dxa"/>
            </w:tcMar>
            <w:vAlign w:val="center"/>
          </w:tcPr>
          <w:p w14:paraId="048FE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项</w:t>
            </w:r>
          </w:p>
        </w:tc>
        <w:tc>
          <w:tcPr>
            <w:tcW w:w="4210" w:type="dxa"/>
            <w:tcBorders>
              <w:top w:val="nil"/>
              <w:left w:val="nil"/>
              <w:bottom w:val="single" w:color="000000" w:sz="8" w:space="0"/>
              <w:right w:val="single" w:color="000000" w:sz="8" w:space="0"/>
            </w:tcBorders>
            <w:shd w:val="clear" w:color="auto" w:fill="C0C0C0"/>
            <w:noWrap/>
            <w:tcMar>
              <w:left w:w="108" w:type="dxa"/>
              <w:right w:w="108" w:type="dxa"/>
            </w:tcMar>
            <w:vAlign w:val="center"/>
          </w:tcPr>
          <w:p w14:paraId="19DCF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栏次</w:t>
            </w:r>
          </w:p>
        </w:tc>
        <w:tc>
          <w:tcPr>
            <w:tcW w:w="1800" w:type="dxa"/>
            <w:tcBorders>
              <w:top w:val="nil"/>
              <w:left w:val="nil"/>
              <w:bottom w:val="single" w:color="000000" w:sz="8" w:space="0"/>
              <w:right w:val="single" w:color="000000" w:sz="8" w:space="0"/>
            </w:tcBorders>
            <w:shd w:val="clear" w:color="auto" w:fill="C0C0C0"/>
            <w:noWrap w:val="0"/>
            <w:tcMar>
              <w:left w:w="108" w:type="dxa"/>
              <w:right w:w="108" w:type="dxa"/>
            </w:tcMar>
            <w:vAlign w:val="center"/>
          </w:tcPr>
          <w:p w14:paraId="2F304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1</w:t>
            </w:r>
          </w:p>
        </w:tc>
        <w:tc>
          <w:tcPr>
            <w:tcW w:w="1800" w:type="dxa"/>
            <w:tcBorders>
              <w:top w:val="nil"/>
              <w:left w:val="nil"/>
              <w:bottom w:val="single" w:color="000000" w:sz="8" w:space="0"/>
              <w:right w:val="single" w:color="000000" w:sz="8" w:space="0"/>
            </w:tcBorders>
            <w:shd w:val="clear" w:color="auto" w:fill="C0C0C0"/>
            <w:noWrap w:val="0"/>
            <w:tcMar>
              <w:left w:w="108" w:type="dxa"/>
              <w:right w:w="108" w:type="dxa"/>
            </w:tcMar>
            <w:vAlign w:val="center"/>
          </w:tcPr>
          <w:p w14:paraId="30F38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w:t>
            </w:r>
          </w:p>
        </w:tc>
        <w:tc>
          <w:tcPr>
            <w:tcW w:w="6" w:type="dxa"/>
            <w:tcBorders>
              <w:top w:val="nil"/>
              <w:left w:val="nil"/>
              <w:bottom w:val="nil"/>
              <w:right w:val="nil"/>
            </w:tcBorders>
            <w:shd w:val="clear" w:color="auto" w:fill="FFFFFF"/>
            <w:noWrap w:val="0"/>
            <w:vAlign w:val="center"/>
          </w:tcPr>
          <w:p w14:paraId="2737C949">
            <w:pPr>
              <w:rPr>
                <w:rFonts w:hint="eastAsia" w:ascii="仿宋" w:hAnsi="仿宋" w:eastAsia="仿宋" w:cs="仿宋"/>
                <w:i w:val="0"/>
                <w:iCs w:val="0"/>
                <w:caps w:val="0"/>
                <w:color w:val="535353"/>
                <w:spacing w:val="0"/>
                <w:sz w:val="22"/>
                <w:szCs w:val="22"/>
              </w:rPr>
            </w:pPr>
          </w:p>
        </w:tc>
      </w:tr>
      <w:tr w14:paraId="7E562FFD">
        <w:tblPrEx>
          <w:tblCellMar>
            <w:top w:w="0" w:type="dxa"/>
            <w:left w:w="0" w:type="dxa"/>
            <w:bottom w:w="0" w:type="dxa"/>
            <w:right w:w="0" w:type="dxa"/>
          </w:tblCellMar>
        </w:tblPrEx>
        <w:trPr>
          <w:trHeight w:val="308" w:hRule="atLeast"/>
        </w:trPr>
        <w:tc>
          <w:tcPr>
            <w:tcW w:w="272" w:type="dxa"/>
            <w:vMerge w:val="continue"/>
            <w:tcBorders>
              <w:top w:val="nil"/>
              <w:left w:val="single" w:color="000000" w:sz="8" w:space="0"/>
              <w:bottom w:val="single" w:color="000000" w:sz="8" w:space="0"/>
              <w:right w:val="single" w:color="000000" w:sz="8" w:space="0"/>
            </w:tcBorders>
            <w:shd w:val="clear" w:color="auto" w:fill="C0C0C0"/>
            <w:noWrap/>
            <w:tcMar>
              <w:left w:w="108" w:type="dxa"/>
              <w:right w:w="108" w:type="dxa"/>
            </w:tcMar>
            <w:vAlign w:val="center"/>
          </w:tcPr>
          <w:p w14:paraId="46AB102B">
            <w:pPr>
              <w:rPr>
                <w:rFonts w:hint="eastAsia" w:ascii="仿宋" w:hAnsi="仿宋" w:eastAsia="仿宋" w:cs="仿宋"/>
                <w:i w:val="0"/>
                <w:iCs w:val="0"/>
                <w:caps w:val="0"/>
                <w:color w:val="535353"/>
                <w:spacing w:val="0"/>
                <w:sz w:val="22"/>
                <w:szCs w:val="22"/>
              </w:rPr>
            </w:pPr>
          </w:p>
        </w:tc>
        <w:tc>
          <w:tcPr>
            <w:tcW w:w="267" w:type="dxa"/>
            <w:vMerge w:val="continue"/>
            <w:tcBorders>
              <w:top w:val="nil"/>
              <w:left w:val="nil"/>
              <w:bottom w:val="single" w:color="000000" w:sz="8" w:space="0"/>
              <w:right w:val="single" w:color="000000" w:sz="8" w:space="0"/>
            </w:tcBorders>
            <w:shd w:val="clear" w:color="auto" w:fill="C0C0C0"/>
            <w:noWrap/>
            <w:tcMar>
              <w:left w:w="108" w:type="dxa"/>
              <w:right w:w="108" w:type="dxa"/>
            </w:tcMar>
            <w:vAlign w:val="center"/>
          </w:tcPr>
          <w:p w14:paraId="1ED16B84">
            <w:pPr>
              <w:rPr>
                <w:rFonts w:hint="eastAsia" w:ascii="仿宋" w:hAnsi="仿宋" w:eastAsia="仿宋" w:cs="仿宋"/>
                <w:i w:val="0"/>
                <w:iCs w:val="0"/>
                <w:caps w:val="0"/>
                <w:color w:val="535353"/>
                <w:spacing w:val="0"/>
                <w:sz w:val="22"/>
                <w:szCs w:val="22"/>
              </w:rPr>
            </w:pPr>
          </w:p>
        </w:tc>
        <w:tc>
          <w:tcPr>
            <w:tcW w:w="263" w:type="dxa"/>
            <w:vMerge w:val="continue"/>
            <w:tcBorders>
              <w:top w:val="nil"/>
              <w:left w:val="nil"/>
              <w:bottom w:val="single" w:color="000000" w:sz="8" w:space="0"/>
              <w:right w:val="single" w:color="000000" w:sz="8" w:space="0"/>
            </w:tcBorders>
            <w:shd w:val="clear" w:color="auto" w:fill="C0C0C0"/>
            <w:noWrap/>
            <w:tcMar>
              <w:left w:w="108" w:type="dxa"/>
              <w:right w:w="108" w:type="dxa"/>
            </w:tcMar>
            <w:vAlign w:val="center"/>
          </w:tcPr>
          <w:p w14:paraId="1A36B330">
            <w:pPr>
              <w:rPr>
                <w:rFonts w:hint="eastAsia" w:ascii="仿宋" w:hAnsi="仿宋" w:eastAsia="仿宋" w:cs="仿宋"/>
                <w:i w:val="0"/>
                <w:iCs w:val="0"/>
                <w:caps w:val="0"/>
                <w:color w:val="535353"/>
                <w:spacing w:val="0"/>
                <w:sz w:val="22"/>
                <w:szCs w:val="22"/>
              </w:rPr>
            </w:pPr>
          </w:p>
        </w:tc>
        <w:tc>
          <w:tcPr>
            <w:tcW w:w="4210" w:type="dxa"/>
            <w:tcBorders>
              <w:top w:val="nil"/>
              <w:left w:val="nil"/>
              <w:bottom w:val="single" w:color="000000" w:sz="8" w:space="0"/>
              <w:right w:val="single" w:color="000000" w:sz="8" w:space="0"/>
            </w:tcBorders>
            <w:shd w:val="clear" w:color="auto" w:fill="C0C0C0"/>
            <w:noWrap/>
            <w:tcMar>
              <w:left w:w="108" w:type="dxa"/>
              <w:right w:w="108" w:type="dxa"/>
            </w:tcMar>
            <w:vAlign w:val="center"/>
          </w:tcPr>
          <w:p w14:paraId="68629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合计</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954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6,215,798.16</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A8F9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6,215,798.16</w:t>
            </w:r>
          </w:p>
        </w:tc>
        <w:tc>
          <w:tcPr>
            <w:tcW w:w="6" w:type="dxa"/>
            <w:tcBorders>
              <w:top w:val="nil"/>
              <w:left w:val="nil"/>
              <w:bottom w:val="nil"/>
              <w:right w:val="nil"/>
            </w:tcBorders>
            <w:shd w:val="clear" w:color="auto" w:fill="FFFFFF"/>
            <w:noWrap w:val="0"/>
            <w:vAlign w:val="center"/>
          </w:tcPr>
          <w:p w14:paraId="22745645">
            <w:pPr>
              <w:rPr>
                <w:rFonts w:hint="eastAsia" w:ascii="仿宋" w:hAnsi="仿宋" w:eastAsia="仿宋" w:cs="仿宋"/>
                <w:i w:val="0"/>
                <w:iCs w:val="0"/>
                <w:caps w:val="0"/>
                <w:color w:val="535353"/>
                <w:spacing w:val="0"/>
                <w:sz w:val="22"/>
                <w:szCs w:val="22"/>
              </w:rPr>
            </w:pPr>
          </w:p>
        </w:tc>
      </w:tr>
      <w:tr w14:paraId="39162805">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2F46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201</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049E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一般公共服务支出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48AE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0DAB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6" w:type="dxa"/>
            <w:tcBorders>
              <w:top w:val="nil"/>
              <w:left w:val="nil"/>
              <w:bottom w:val="nil"/>
              <w:right w:val="nil"/>
            </w:tcBorders>
            <w:shd w:val="clear" w:color="auto" w:fill="FFFFFF"/>
            <w:noWrap w:val="0"/>
            <w:vAlign w:val="center"/>
          </w:tcPr>
          <w:p w14:paraId="1ED883F2">
            <w:pPr>
              <w:rPr>
                <w:rFonts w:hint="eastAsia" w:ascii="仿宋" w:hAnsi="仿宋" w:eastAsia="仿宋" w:cs="仿宋"/>
                <w:i w:val="0"/>
                <w:iCs w:val="0"/>
                <w:caps w:val="0"/>
                <w:color w:val="535353"/>
                <w:spacing w:val="0"/>
                <w:sz w:val="22"/>
                <w:szCs w:val="22"/>
              </w:rPr>
            </w:pPr>
          </w:p>
        </w:tc>
      </w:tr>
      <w:tr w14:paraId="7B10444C">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622A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20103</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BC6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政府办公厅（室）及相关机构事务</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2F7F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441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6" w:type="dxa"/>
            <w:tcBorders>
              <w:top w:val="nil"/>
              <w:left w:val="nil"/>
              <w:bottom w:val="nil"/>
              <w:right w:val="nil"/>
            </w:tcBorders>
            <w:shd w:val="clear" w:color="auto" w:fill="FFFFFF"/>
            <w:noWrap w:val="0"/>
            <w:vAlign w:val="center"/>
          </w:tcPr>
          <w:p w14:paraId="230DBEB8">
            <w:pPr>
              <w:rPr>
                <w:rFonts w:hint="eastAsia" w:ascii="仿宋" w:hAnsi="仿宋" w:eastAsia="仿宋" w:cs="仿宋"/>
                <w:i w:val="0"/>
                <w:iCs w:val="0"/>
                <w:caps w:val="0"/>
                <w:color w:val="535353"/>
                <w:spacing w:val="0"/>
                <w:sz w:val="22"/>
                <w:szCs w:val="22"/>
              </w:rPr>
            </w:pPr>
          </w:p>
        </w:tc>
      </w:tr>
      <w:tr w14:paraId="185DD1F1">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E713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2010308</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5A89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 信访事务</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6DF3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90E0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30,000.00</w:t>
            </w:r>
          </w:p>
        </w:tc>
        <w:tc>
          <w:tcPr>
            <w:tcW w:w="6" w:type="dxa"/>
            <w:tcBorders>
              <w:top w:val="nil"/>
              <w:left w:val="nil"/>
              <w:bottom w:val="nil"/>
              <w:right w:val="nil"/>
            </w:tcBorders>
            <w:shd w:val="clear" w:color="auto" w:fill="FFFFFF"/>
            <w:noWrap w:val="0"/>
            <w:vAlign w:val="center"/>
          </w:tcPr>
          <w:p w14:paraId="5FA53B6F">
            <w:pPr>
              <w:rPr>
                <w:rFonts w:hint="eastAsia" w:ascii="仿宋" w:hAnsi="仿宋" w:eastAsia="仿宋" w:cs="仿宋"/>
                <w:i w:val="0"/>
                <w:iCs w:val="0"/>
                <w:caps w:val="0"/>
                <w:color w:val="535353"/>
                <w:spacing w:val="0"/>
                <w:sz w:val="22"/>
                <w:szCs w:val="22"/>
              </w:rPr>
            </w:pPr>
          </w:p>
        </w:tc>
      </w:tr>
      <w:tr w14:paraId="0C8973C5">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2DF0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3DC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社会保障和就业支出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E09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5,904,268.16</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EB37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5,904,268.16</w:t>
            </w:r>
          </w:p>
        </w:tc>
        <w:tc>
          <w:tcPr>
            <w:tcW w:w="6" w:type="dxa"/>
            <w:tcBorders>
              <w:top w:val="nil"/>
              <w:left w:val="nil"/>
              <w:bottom w:val="nil"/>
              <w:right w:val="nil"/>
            </w:tcBorders>
            <w:shd w:val="clear" w:color="auto" w:fill="FFFFFF"/>
            <w:noWrap w:val="0"/>
            <w:vAlign w:val="center"/>
          </w:tcPr>
          <w:p w14:paraId="3D2605C6">
            <w:pPr>
              <w:rPr>
                <w:rFonts w:hint="eastAsia" w:ascii="仿宋" w:hAnsi="仿宋" w:eastAsia="仿宋" w:cs="仿宋"/>
                <w:i w:val="0"/>
                <w:iCs w:val="0"/>
                <w:caps w:val="0"/>
                <w:color w:val="535353"/>
                <w:spacing w:val="0"/>
                <w:sz w:val="22"/>
                <w:szCs w:val="22"/>
              </w:rPr>
            </w:pPr>
          </w:p>
        </w:tc>
      </w:tr>
      <w:tr w14:paraId="2CAE7F95">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5106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60DE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残疾人事业</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D47F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5,904,268.16</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C28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5,904,268.16</w:t>
            </w:r>
          </w:p>
        </w:tc>
        <w:tc>
          <w:tcPr>
            <w:tcW w:w="6" w:type="dxa"/>
            <w:tcBorders>
              <w:top w:val="nil"/>
              <w:left w:val="nil"/>
              <w:bottom w:val="nil"/>
              <w:right w:val="nil"/>
            </w:tcBorders>
            <w:shd w:val="clear" w:color="auto" w:fill="FFFFFF"/>
            <w:noWrap w:val="0"/>
            <w:vAlign w:val="center"/>
          </w:tcPr>
          <w:p w14:paraId="2A68120E">
            <w:pPr>
              <w:rPr>
                <w:rFonts w:hint="eastAsia" w:ascii="仿宋" w:hAnsi="仿宋" w:eastAsia="仿宋" w:cs="仿宋"/>
                <w:i w:val="0"/>
                <w:iCs w:val="0"/>
                <w:caps w:val="0"/>
                <w:color w:val="535353"/>
                <w:spacing w:val="0"/>
                <w:sz w:val="22"/>
                <w:szCs w:val="22"/>
              </w:rPr>
            </w:pPr>
          </w:p>
        </w:tc>
      </w:tr>
      <w:tr w14:paraId="0D905051">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2817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2081101</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BB5A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 行政运行</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EDD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3,171,478.00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ECA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3,171,478.00</w:t>
            </w:r>
          </w:p>
        </w:tc>
        <w:tc>
          <w:tcPr>
            <w:tcW w:w="6" w:type="dxa"/>
            <w:tcBorders>
              <w:top w:val="nil"/>
              <w:left w:val="nil"/>
              <w:bottom w:val="nil"/>
              <w:right w:val="nil"/>
            </w:tcBorders>
            <w:shd w:val="clear" w:color="auto" w:fill="FFFFFF"/>
            <w:noWrap w:val="0"/>
            <w:vAlign w:val="center"/>
          </w:tcPr>
          <w:p w14:paraId="5D53F072">
            <w:pPr>
              <w:rPr>
                <w:rFonts w:hint="eastAsia" w:ascii="仿宋" w:hAnsi="仿宋" w:eastAsia="仿宋" w:cs="仿宋"/>
                <w:i w:val="0"/>
                <w:iCs w:val="0"/>
                <w:caps w:val="0"/>
                <w:color w:val="535353"/>
                <w:spacing w:val="0"/>
                <w:sz w:val="22"/>
                <w:szCs w:val="22"/>
              </w:rPr>
            </w:pPr>
          </w:p>
        </w:tc>
      </w:tr>
      <w:tr w14:paraId="1A3E0416">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5269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2081104</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3DBE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 残疾人康复</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0A4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367,000.00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8A7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367,000.00</w:t>
            </w:r>
          </w:p>
        </w:tc>
        <w:tc>
          <w:tcPr>
            <w:tcW w:w="6" w:type="dxa"/>
            <w:tcBorders>
              <w:top w:val="nil"/>
              <w:left w:val="nil"/>
              <w:bottom w:val="nil"/>
              <w:right w:val="nil"/>
            </w:tcBorders>
            <w:shd w:val="clear" w:color="auto" w:fill="FFFFFF"/>
            <w:noWrap w:val="0"/>
            <w:vAlign w:val="center"/>
          </w:tcPr>
          <w:p w14:paraId="5CA9BFB8">
            <w:pPr>
              <w:rPr>
                <w:rFonts w:hint="eastAsia" w:ascii="仿宋" w:hAnsi="仿宋" w:eastAsia="仿宋" w:cs="仿宋"/>
                <w:i w:val="0"/>
                <w:iCs w:val="0"/>
                <w:caps w:val="0"/>
                <w:color w:val="535353"/>
                <w:spacing w:val="0"/>
                <w:sz w:val="22"/>
                <w:szCs w:val="22"/>
              </w:rPr>
            </w:pPr>
          </w:p>
        </w:tc>
      </w:tr>
      <w:tr w14:paraId="551B345B">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EA37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2081105</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432C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 残疾人就业和扶贫</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E66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1,829,870.16</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A49D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1,829,870.16</w:t>
            </w:r>
          </w:p>
        </w:tc>
        <w:tc>
          <w:tcPr>
            <w:tcW w:w="6" w:type="dxa"/>
            <w:tcBorders>
              <w:top w:val="nil"/>
              <w:left w:val="nil"/>
              <w:bottom w:val="nil"/>
              <w:right w:val="nil"/>
            </w:tcBorders>
            <w:shd w:val="clear" w:color="auto" w:fill="FFFFFF"/>
            <w:noWrap w:val="0"/>
            <w:vAlign w:val="center"/>
          </w:tcPr>
          <w:p w14:paraId="4406C105">
            <w:pPr>
              <w:rPr>
                <w:rFonts w:hint="eastAsia" w:ascii="仿宋" w:hAnsi="仿宋" w:eastAsia="仿宋" w:cs="仿宋"/>
                <w:i w:val="0"/>
                <w:iCs w:val="0"/>
                <w:caps w:val="0"/>
                <w:color w:val="535353"/>
                <w:spacing w:val="0"/>
                <w:sz w:val="22"/>
                <w:szCs w:val="22"/>
              </w:rPr>
            </w:pPr>
          </w:p>
        </w:tc>
      </w:tr>
      <w:tr w14:paraId="52ACAE43">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E4D5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2081107</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A3F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 残疾人生活和护理补贴</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8560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87,000.00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C9C3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87,000.00</w:t>
            </w:r>
          </w:p>
        </w:tc>
        <w:tc>
          <w:tcPr>
            <w:tcW w:w="6" w:type="dxa"/>
            <w:tcBorders>
              <w:top w:val="nil"/>
              <w:left w:val="nil"/>
              <w:bottom w:val="nil"/>
              <w:right w:val="nil"/>
            </w:tcBorders>
            <w:shd w:val="clear" w:color="auto" w:fill="FFFFFF"/>
            <w:noWrap w:val="0"/>
            <w:vAlign w:val="center"/>
          </w:tcPr>
          <w:p w14:paraId="4A373565">
            <w:pPr>
              <w:rPr>
                <w:rFonts w:hint="eastAsia" w:ascii="仿宋" w:hAnsi="仿宋" w:eastAsia="仿宋" w:cs="仿宋"/>
                <w:i w:val="0"/>
                <w:iCs w:val="0"/>
                <w:caps w:val="0"/>
                <w:color w:val="535353"/>
                <w:spacing w:val="0"/>
                <w:sz w:val="22"/>
                <w:szCs w:val="22"/>
              </w:rPr>
            </w:pPr>
          </w:p>
        </w:tc>
      </w:tr>
      <w:tr w14:paraId="0A502687">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67D7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2081199</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5E4D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 其他残疾人事业支出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BEF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448,920.00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EAD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448,920.00</w:t>
            </w:r>
          </w:p>
        </w:tc>
        <w:tc>
          <w:tcPr>
            <w:tcW w:w="6" w:type="dxa"/>
            <w:tcBorders>
              <w:top w:val="nil"/>
              <w:left w:val="nil"/>
              <w:bottom w:val="nil"/>
              <w:right w:val="nil"/>
            </w:tcBorders>
            <w:shd w:val="clear" w:color="auto" w:fill="FFFFFF"/>
            <w:noWrap w:val="0"/>
            <w:vAlign w:val="center"/>
          </w:tcPr>
          <w:p w14:paraId="0ED2AF95">
            <w:pPr>
              <w:rPr>
                <w:rFonts w:hint="eastAsia" w:ascii="仿宋" w:hAnsi="仿宋" w:eastAsia="仿宋" w:cs="仿宋"/>
                <w:i w:val="0"/>
                <w:iCs w:val="0"/>
                <w:caps w:val="0"/>
                <w:color w:val="535353"/>
                <w:spacing w:val="0"/>
                <w:sz w:val="22"/>
                <w:szCs w:val="22"/>
              </w:rPr>
            </w:pPr>
          </w:p>
        </w:tc>
      </w:tr>
      <w:tr w14:paraId="624D8F03">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71F1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6D8D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住房保障支出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FA2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890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6" w:type="dxa"/>
            <w:tcBorders>
              <w:top w:val="nil"/>
              <w:left w:val="nil"/>
              <w:bottom w:val="nil"/>
              <w:right w:val="nil"/>
            </w:tcBorders>
            <w:shd w:val="clear" w:color="auto" w:fill="FFFFFF"/>
            <w:noWrap w:val="0"/>
            <w:vAlign w:val="center"/>
          </w:tcPr>
          <w:p w14:paraId="4A216374">
            <w:pPr>
              <w:rPr>
                <w:rFonts w:hint="eastAsia" w:ascii="仿宋" w:hAnsi="仿宋" w:eastAsia="仿宋" w:cs="仿宋"/>
                <w:i w:val="0"/>
                <w:iCs w:val="0"/>
                <w:caps w:val="0"/>
                <w:color w:val="535353"/>
                <w:spacing w:val="0"/>
                <w:sz w:val="22"/>
                <w:szCs w:val="22"/>
              </w:rPr>
            </w:pPr>
          </w:p>
        </w:tc>
      </w:tr>
      <w:tr w14:paraId="06D105D8">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1C29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22102</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FA7E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住房改革支出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228C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BAD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6" w:type="dxa"/>
            <w:tcBorders>
              <w:top w:val="nil"/>
              <w:left w:val="nil"/>
              <w:bottom w:val="nil"/>
              <w:right w:val="nil"/>
            </w:tcBorders>
            <w:shd w:val="clear" w:color="auto" w:fill="FFFFFF"/>
            <w:noWrap w:val="0"/>
            <w:vAlign w:val="center"/>
          </w:tcPr>
          <w:p w14:paraId="48C2E4CA">
            <w:pPr>
              <w:rPr>
                <w:rFonts w:hint="eastAsia" w:ascii="仿宋" w:hAnsi="仿宋" w:eastAsia="仿宋" w:cs="仿宋"/>
                <w:i w:val="0"/>
                <w:iCs w:val="0"/>
                <w:caps w:val="0"/>
                <w:color w:val="535353"/>
                <w:spacing w:val="0"/>
                <w:sz w:val="22"/>
                <w:szCs w:val="22"/>
              </w:rPr>
            </w:pPr>
          </w:p>
        </w:tc>
      </w:tr>
      <w:tr w14:paraId="2AAD3774">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74B5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2210201</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01C9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 住房公积金</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023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7DD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221,530.00</w:t>
            </w:r>
          </w:p>
        </w:tc>
        <w:tc>
          <w:tcPr>
            <w:tcW w:w="6" w:type="dxa"/>
            <w:tcBorders>
              <w:top w:val="nil"/>
              <w:left w:val="nil"/>
              <w:bottom w:val="nil"/>
              <w:right w:val="nil"/>
            </w:tcBorders>
            <w:shd w:val="clear" w:color="auto" w:fill="FFFFFF"/>
            <w:noWrap w:val="0"/>
            <w:vAlign w:val="center"/>
          </w:tcPr>
          <w:p w14:paraId="6AE1D95D">
            <w:pPr>
              <w:rPr>
                <w:rFonts w:hint="eastAsia" w:ascii="仿宋" w:hAnsi="仿宋" w:eastAsia="仿宋" w:cs="仿宋"/>
                <w:i w:val="0"/>
                <w:iCs w:val="0"/>
                <w:caps w:val="0"/>
                <w:color w:val="535353"/>
                <w:spacing w:val="0"/>
                <w:sz w:val="22"/>
                <w:szCs w:val="22"/>
              </w:rPr>
            </w:pPr>
          </w:p>
        </w:tc>
      </w:tr>
      <w:tr w14:paraId="09B79D7F">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0398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229</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FE9B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其他支出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FFB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7756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6" w:type="dxa"/>
            <w:tcBorders>
              <w:top w:val="nil"/>
              <w:left w:val="nil"/>
              <w:bottom w:val="nil"/>
              <w:right w:val="nil"/>
            </w:tcBorders>
            <w:shd w:val="clear" w:color="auto" w:fill="FFFFFF"/>
            <w:noWrap w:val="0"/>
            <w:vAlign w:val="center"/>
          </w:tcPr>
          <w:p w14:paraId="0CD2CDFE">
            <w:pPr>
              <w:rPr>
                <w:rFonts w:hint="eastAsia" w:ascii="仿宋" w:hAnsi="仿宋" w:eastAsia="仿宋" w:cs="仿宋"/>
                <w:i w:val="0"/>
                <w:iCs w:val="0"/>
                <w:caps w:val="0"/>
                <w:color w:val="535353"/>
                <w:spacing w:val="0"/>
                <w:sz w:val="22"/>
                <w:szCs w:val="22"/>
              </w:rPr>
            </w:pPr>
          </w:p>
        </w:tc>
      </w:tr>
      <w:tr w14:paraId="7B7DAC26">
        <w:tblPrEx>
          <w:shd w:val="clear" w:color="auto" w:fill="FFFFFF"/>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6B0E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22960</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3223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彩票公益金及对应专项债务收入安排的支出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1269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0AFA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6" w:type="dxa"/>
            <w:tcBorders>
              <w:top w:val="nil"/>
              <w:left w:val="nil"/>
              <w:bottom w:val="nil"/>
              <w:right w:val="nil"/>
            </w:tcBorders>
            <w:shd w:val="clear" w:color="auto" w:fill="FFFFFF"/>
            <w:noWrap w:val="0"/>
            <w:vAlign w:val="center"/>
          </w:tcPr>
          <w:p w14:paraId="301AD6D9">
            <w:pPr>
              <w:rPr>
                <w:rFonts w:hint="eastAsia" w:ascii="仿宋" w:hAnsi="仿宋" w:eastAsia="仿宋" w:cs="仿宋"/>
                <w:i w:val="0"/>
                <w:iCs w:val="0"/>
                <w:caps w:val="0"/>
                <w:color w:val="535353"/>
                <w:spacing w:val="0"/>
                <w:sz w:val="22"/>
                <w:szCs w:val="22"/>
              </w:rPr>
            </w:pPr>
          </w:p>
        </w:tc>
      </w:tr>
      <w:tr w14:paraId="1F6A6655">
        <w:tblPrEx>
          <w:tblCellMar>
            <w:top w:w="0" w:type="dxa"/>
            <w:left w:w="0" w:type="dxa"/>
            <w:bottom w:w="0" w:type="dxa"/>
            <w:right w:w="0" w:type="dxa"/>
          </w:tblCellMar>
        </w:tblPrEx>
        <w:trPr>
          <w:trHeight w:val="308" w:hRule="atLeast"/>
        </w:trPr>
        <w:tc>
          <w:tcPr>
            <w:tcW w:w="802" w:type="dxa"/>
            <w:gridSpan w:val="3"/>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ACA1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2296006</w:t>
            </w:r>
          </w:p>
        </w:tc>
        <w:tc>
          <w:tcPr>
            <w:tcW w:w="421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DD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 用于残疾人事业的彩票公益金支出</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C627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18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72F6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i w:val="0"/>
                <w:iCs w:val="0"/>
                <w:caps w:val="0"/>
                <w:color w:val="000000"/>
                <w:spacing w:val="0"/>
                <w:sz w:val="30"/>
                <w:szCs w:val="30"/>
              </w:rPr>
              <w:t>60,000.00</w:t>
            </w:r>
          </w:p>
        </w:tc>
        <w:tc>
          <w:tcPr>
            <w:tcW w:w="6" w:type="dxa"/>
            <w:tcBorders>
              <w:top w:val="nil"/>
              <w:left w:val="nil"/>
              <w:bottom w:val="nil"/>
              <w:right w:val="nil"/>
            </w:tcBorders>
            <w:shd w:val="clear" w:color="auto" w:fill="FFFFFF"/>
            <w:noWrap w:val="0"/>
            <w:vAlign w:val="center"/>
          </w:tcPr>
          <w:p w14:paraId="65704C50">
            <w:pPr>
              <w:rPr>
                <w:rFonts w:hint="eastAsia" w:ascii="仿宋" w:hAnsi="仿宋" w:eastAsia="仿宋" w:cs="仿宋"/>
                <w:i w:val="0"/>
                <w:iCs w:val="0"/>
                <w:caps w:val="0"/>
                <w:color w:val="535353"/>
                <w:spacing w:val="0"/>
                <w:sz w:val="22"/>
                <w:szCs w:val="22"/>
              </w:rPr>
            </w:pPr>
          </w:p>
        </w:tc>
      </w:tr>
    </w:tbl>
    <w:p w14:paraId="69D86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 </w:t>
      </w:r>
    </w:p>
    <w:p w14:paraId="55DB6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（2）全年支出情况</w:t>
      </w:r>
    </w:p>
    <w:p w14:paraId="10772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区残联部门2018年度省级一般公共预算基本支出总计621.57万元，包括：工资福利支出404.11万元，商品和服务支出87.01万元，对个人和家庭的补助支出130.09万元。基本支出主要用于维持区残联机关及下属事业单位基本运转而发生的各项支出，包括基本工资、津贴补贴、社会保障缴费等人员性经费和办公费、印刷费、水电费、邮电费、物业管理费、维修费、差旅费、劳务费、培训费、会议费等日常公用经费等支出。</w:t>
      </w:r>
    </w:p>
    <w:p w14:paraId="7E1DE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总体来说，区残联财务管理较为严格，无计划安排不报账，无相关领导审批不报账，无经手人、证明人签字不报账，不符合财务规定的发票、票据不报账。经费的开支管理及费用报销均严格执行相关制度规定，坚持勤俭节约，确保资金的规范使用与安全。先后制定了《冷水滩区残疾人就业与扶贫专项资金管理办法》、《冷水滩区残疾人康复资金管理办法》对项目资金的实施、资金投向及调度安排、固定资产购置及交付使用进行跟踪管理，项目负责人定期向分管会领导汇报项目实施进展和资金使用情况，确保项目资金专款专用，并保证项目保质完成。对于批量及单价在规定金额以上的物品、工程和服务采购，均实行政府采购制度。年度计划、重大支出、基础设施建设等重大事项均经过区残联党组理事会集体讨论决定。</w:t>
      </w:r>
    </w:p>
    <w:p w14:paraId="62A65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2018年我会按照财政局的要求，根据单位实际情况建立并完善了内控体系，制定了《区残联财务内控制度》，明确了我会经济活动内部控制管理和运行的基本原则、程序和控制要求，推动区残联机关经济活动内部管理水平的提升。进一步明确了我会公务接待、会议和培训开支的制度要求，费用报账审批手续更为严格，从而更加规范我会财务管理。</w:t>
      </w:r>
    </w:p>
    <w:p w14:paraId="63DED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（二）</w:t>
      </w:r>
      <w:r>
        <w:rPr>
          <w:rFonts w:hint="eastAsia" w:ascii="仿宋" w:hAnsi="仿宋" w:eastAsia="仿宋" w:cs="仿宋"/>
          <w:i w:val="0"/>
          <w:iCs w:val="0"/>
          <w:caps w:val="0"/>
          <w:color w:val="000000"/>
          <w:spacing w:val="0"/>
          <w:sz w:val="30"/>
          <w:szCs w:val="30"/>
          <w:shd w:val="clear" w:color="auto" w:fill="FFFFFF"/>
          <w:lang w:eastAsia="zh-CN"/>
        </w:rPr>
        <w:t>“三公”经费</w:t>
      </w:r>
      <w:r>
        <w:rPr>
          <w:rFonts w:hint="eastAsia" w:ascii="仿宋" w:hAnsi="仿宋" w:eastAsia="仿宋" w:cs="仿宋"/>
          <w:i w:val="0"/>
          <w:iCs w:val="0"/>
          <w:caps w:val="0"/>
          <w:color w:val="000000"/>
          <w:spacing w:val="0"/>
          <w:sz w:val="30"/>
          <w:szCs w:val="30"/>
          <w:shd w:val="clear" w:color="auto" w:fill="FFFFFF"/>
        </w:rPr>
        <w:t>支出情况</w:t>
      </w:r>
    </w:p>
    <w:p w14:paraId="0F3FA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区残联建立健全公务接待等相关制度规定，严格执行“三公”经费预算管理，厉行勤俭节约，反对铺张浪费。在公务接待管理方面，我会坚持有利公务、务实节俭、严格标准、简化礼仪、高效透明的原则，严肃公务接待管理纪律。</w:t>
      </w:r>
    </w:p>
    <w:p w14:paraId="22088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2018年</w:t>
      </w:r>
      <w:r>
        <w:rPr>
          <w:rFonts w:hint="eastAsia" w:ascii="仿宋" w:hAnsi="仿宋" w:eastAsia="仿宋" w:cs="仿宋"/>
          <w:i w:val="0"/>
          <w:iCs w:val="0"/>
          <w:caps w:val="0"/>
          <w:color w:val="535353"/>
          <w:spacing w:val="0"/>
          <w:sz w:val="30"/>
          <w:szCs w:val="30"/>
          <w:shd w:val="clear" w:color="auto" w:fill="FFFFFF"/>
          <w:lang w:eastAsia="zh-CN"/>
        </w:rPr>
        <w:t>“三公”经费</w:t>
      </w:r>
      <w:r>
        <w:rPr>
          <w:rFonts w:hint="eastAsia" w:ascii="仿宋" w:hAnsi="仿宋" w:eastAsia="仿宋" w:cs="仿宋"/>
          <w:i w:val="0"/>
          <w:iCs w:val="0"/>
          <w:caps w:val="0"/>
          <w:color w:val="535353"/>
          <w:spacing w:val="0"/>
          <w:sz w:val="30"/>
          <w:szCs w:val="30"/>
          <w:shd w:val="clear" w:color="auto" w:fill="FFFFFF"/>
        </w:rPr>
        <w:t>实际总支出1.97万元与2017年实际总支出相比上升0.23万元，增长率13.4%，其中：“公款出国（境）费用”0万元；“车辆购置及运行费”0万元；“公务接待费”1.97万元，增长率为13.4%。</w:t>
      </w:r>
    </w:p>
    <w:p w14:paraId="7F625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区残联坚持以优良作风服务发展，坚决落实</w:t>
      </w:r>
      <w:r>
        <w:rPr>
          <w:rFonts w:hint="eastAsia" w:ascii="仿宋" w:hAnsi="仿宋" w:eastAsia="仿宋" w:cs="仿宋"/>
          <w:i w:val="0"/>
          <w:iCs w:val="0"/>
          <w:caps w:val="0"/>
          <w:color w:val="535353"/>
          <w:spacing w:val="0"/>
          <w:sz w:val="30"/>
          <w:szCs w:val="30"/>
          <w:shd w:val="clear" w:color="auto" w:fill="FFFFFF"/>
          <w:lang w:eastAsia="zh-CN"/>
        </w:rPr>
        <w:t>中央八项规定</w:t>
      </w:r>
      <w:r>
        <w:rPr>
          <w:rFonts w:hint="eastAsia" w:ascii="仿宋" w:hAnsi="仿宋" w:eastAsia="仿宋" w:cs="仿宋"/>
          <w:i w:val="0"/>
          <w:iCs w:val="0"/>
          <w:caps w:val="0"/>
          <w:color w:val="535353"/>
          <w:spacing w:val="0"/>
          <w:sz w:val="30"/>
          <w:szCs w:val="30"/>
          <w:shd w:val="clear" w:color="auto" w:fill="FFFFFF"/>
        </w:rPr>
        <w:t>和省委“九项规定”，确保</w:t>
      </w:r>
      <w:r>
        <w:rPr>
          <w:rFonts w:hint="eastAsia" w:ascii="仿宋" w:hAnsi="仿宋" w:eastAsia="仿宋" w:cs="仿宋"/>
          <w:i w:val="0"/>
          <w:iCs w:val="0"/>
          <w:caps w:val="0"/>
          <w:color w:val="535353"/>
          <w:spacing w:val="0"/>
          <w:sz w:val="30"/>
          <w:szCs w:val="30"/>
          <w:shd w:val="clear" w:color="auto" w:fill="FFFFFF"/>
          <w:lang w:eastAsia="zh-CN"/>
        </w:rPr>
        <w:t>“三公”经费</w:t>
      </w:r>
      <w:r>
        <w:rPr>
          <w:rFonts w:hint="eastAsia" w:ascii="仿宋" w:hAnsi="仿宋" w:eastAsia="仿宋" w:cs="仿宋"/>
          <w:i w:val="0"/>
          <w:iCs w:val="0"/>
          <w:caps w:val="0"/>
          <w:color w:val="535353"/>
          <w:spacing w:val="0"/>
          <w:sz w:val="30"/>
          <w:szCs w:val="30"/>
          <w:shd w:val="clear" w:color="auto" w:fill="FFFFFF"/>
        </w:rPr>
        <w:t>总额不超年初预算，不超上年决算。</w:t>
      </w:r>
    </w:p>
    <w:p w14:paraId="54674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left"/>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三、部门整体支出自评情况</w:t>
      </w:r>
    </w:p>
    <w:p w14:paraId="1075F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（一）绩效自评工作组织实施情况</w:t>
      </w:r>
    </w:p>
    <w:p w14:paraId="3DBB8C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我会以绩效评估为契机，认真对照评估指标，按照年度工作计划扎实推进2018年度一般公共预算专项资金和部门整体支出绩效自评工作。为做好绩效自评工作，确保质量，我会成立了由办公室财务牵头，相关业务部室参加的自评工作小组，建立科学有效的机制，并制定了切实可行的自评方案。对资金支出经济性、效率性、有效性和可持性进行客观、公正的评价，对评价指标进行打分并撰写自评报告，准备了相关佐证材料，并积极应用于相关项目资金安排调整上，提高了专项资金和部门整体支出资金的使用效益。</w:t>
      </w:r>
    </w:p>
    <w:p w14:paraId="4A4FD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（二）部门整体支出绩效自评工作内容</w:t>
      </w:r>
    </w:p>
    <w:p w14:paraId="1A8F3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我会</w:t>
      </w:r>
      <w:r>
        <w:rPr>
          <w:rFonts w:hint="eastAsia" w:ascii="仿宋" w:hAnsi="仿宋" w:eastAsia="仿宋" w:cs="仿宋"/>
          <w:i w:val="0"/>
          <w:iCs w:val="0"/>
          <w:caps w:val="0"/>
          <w:color w:val="535353"/>
          <w:spacing w:val="0"/>
          <w:sz w:val="30"/>
          <w:szCs w:val="30"/>
          <w:shd w:val="clear" w:color="auto" w:fill="FFFFFF"/>
        </w:rPr>
        <w:t>于2月28日完成了部门整体支出绩效自评工作，工作内容主要有：</w:t>
      </w:r>
    </w:p>
    <w:p w14:paraId="74F7E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1、核实数据。</w:t>
      </w:r>
      <w:r>
        <w:rPr>
          <w:rFonts w:hint="eastAsia" w:ascii="仿宋" w:hAnsi="仿宋" w:eastAsia="仿宋" w:cs="仿宋"/>
          <w:i w:val="0"/>
          <w:iCs w:val="0"/>
          <w:caps w:val="0"/>
          <w:color w:val="535353"/>
          <w:spacing w:val="0"/>
          <w:sz w:val="30"/>
          <w:szCs w:val="30"/>
          <w:shd w:val="clear" w:color="auto" w:fill="FFFFFF"/>
        </w:rPr>
        <w:t>对2018年度部门整体支出数据的准确性、真实性进行核实，将2018年度和2017年度部门整体支出情况进行比较分析。</w:t>
      </w:r>
    </w:p>
    <w:p w14:paraId="258FA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2、查阅资料。查阅2018年度一般公共预算基本支出的预算安排、预算追加、资金管理、经费支出等相关文件资料和财务凭证。</w:t>
      </w:r>
    </w:p>
    <w:p w14:paraId="496C4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3、实地查看。现场查看实物资产等。</w:t>
      </w:r>
    </w:p>
    <w:p w14:paraId="31631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4、归纳汇总。结合现场评价情况进行综合分析、归纳汇总。</w:t>
      </w:r>
    </w:p>
    <w:p w14:paraId="7452A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5、自评工作小组对各项评价指标进行分析讨论。</w:t>
      </w:r>
    </w:p>
    <w:p w14:paraId="513CE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6、形成部门整体支出绩效自评价报告。</w:t>
      </w:r>
    </w:p>
    <w:p w14:paraId="651BF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000000"/>
          <w:spacing w:val="0"/>
          <w:sz w:val="30"/>
          <w:szCs w:val="30"/>
          <w:shd w:val="clear" w:color="auto" w:fill="FFFFFF"/>
        </w:rPr>
        <w:t>（三）部门整体支出评价结果</w:t>
      </w:r>
    </w:p>
    <w:p w14:paraId="098E3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区残联2018年部门整体支出的自评绩效分值92分，自评扣分主要是预算完成率、预算控制率和政府采购执行率。</w:t>
      </w:r>
    </w:p>
    <w:p w14:paraId="425D6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四、部门整体支出绩效情况</w:t>
      </w:r>
    </w:p>
    <w:p w14:paraId="1888B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冷水滩区残疾人联合会充分履行职责职能,严格按财经法规及制度使用和管理资金,绩效明显,主要体现在以下几个方面：</w:t>
      </w:r>
    </w:p>
    <w:p w14:paraId="18DBC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（一）</w:t>
      </w:r>
      <w:r>
        <w:rPr>
          <w:rFonts w:hint="eastAsia" w:ascii="仿宋" w:hAnsi="仿宋" w:eastAsia="仿宋" w:cs="仿宋"/>
          <w:i w:val="0"/>
          <w:iCs w:val="0"/>
          <w:caps w:val="0"/>
          <w:color w:val="535353"/>
          <w:spacing w:val="0"/>
          <w:sz w:val="14"/>
          <w:szCs w:val="14"/>
          <w:shd w:val="clear" w:color="auto" w:fill="FFFFFF"/>
        </w:rPr>
        <w:t>  </w:t>
      </w:r>
      <w:r>
        <w:rPr>
          <w:rFonts w:hint="eastAsia" w:ascii="仿宋" w:hAnsi="仿宋" w:eastAsia="仿宋" w:cs="仿宋"/>
          <w:i w:val="0"/>
          <w:iCs w:val="0"/>
          <w:caps w:val="0"/>
          <w:color w:val="535353"/>
          <w:spacing w:val="0"/>
          <w:sz w:val="30"/>
          <w:szCs w:val="30"/>
          <w:shd w:val="clear" w:color="auto" w:fill="FFFFFF"/>
        </w:rPr>
        <w:t>积极落实厉行节约，严格控制</w:t>
      </w:r>
      <w:r>
        <w:rPr>
          <w:rFonts w:hint="eastAsia" w:ascii="仿宋" w:hAnsi="仿宋" w:eastAsia="仿宋" w:cs="仿宋"/>
          <w:i w:val="0"/>
          <w:iCs w:val="0"/>
          <w:caps w:val="0"/>
          <w:color w:val="535353"/>
          <w:spacing w:val="0"/>
          <w:sz w:val="30"/>
          <w:szCs w:val="30"/>
          <w:shd w:val="clear" w:color="auto" w:fill="FFFFFF"/>
          <w:lang w:eastAsia="zh-CN"/>
        </w:rPr>
        <w:t>“三公”经费</w:t>
      </w:r>
      <w:r>
        <w:rPr>
          <w:rFonts w:hint="eastAsia" w:ascii="仿宋" w:hAnsi="仿宋" w:eastAsia="仿宋" w:cs="仿宋"/>
          <w:i w:val="0"/>
          <w:iCs w:val="0"/>
          <w:caps w:val="0"/>
          <w:color w:val="535353"/>
          <w:spacing w:val="0"/>
          <w:sz w:val="30"/>
          <w:szCs w:val="30"/>
          <w:shd w:val="clear" w:color="auto" w:fill="FFFFFF"/>
        </w:rPr>
        <w:t>。</w:t>
      </w:r>
    </w:p>
    <w:p w14:paraId="5E122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1）构建长效防腐机制，狠抓廉政作风建设。一是健全决策制度。组织制定党组议事规则、三重一大事项集体决策制度、党组书记末位表态制度和“三个不直接分管”等制度，落实党风廉政建设“两个责任”实施办法、谈心谈话制度、党组中心组学习制度、建立党组理事会成员党建工作联系点等一系列制度。通过扎紧制度笼子，确保重大问题决策不发生失误。二是建立问责机制。组织学习贯彻中国共产党问责条例的实施办法，制定落实党内问责条例实施细则，明确对落实“两个责任”不力的党组织和相关责任人进行严肃问责。三是推进政务公开。修订党务政务公开制度，大力推进党务政务公开，畅通拓宽监督渠道。严格按照财政要求，做好预决算公开工作，对</w:t>
      </w:r>
      <w:r>
        <w:rPr>
          <w:rFonts w:hint="eastAsia" w:ascii="仿宋" w:hAnsi="仿宋" w:eastAsia="仿宋" w:cs="仿宋"/>
          <w:i w:val="0"/>
          <w:iCs w:val="0"/>
          <w:caps w:val="0"/>
          <w:color w:val="535353"/>
          <w:spacing w:val="0"/>
          <w:sz w:val="30"/>
          <w:szCs w:val="30"/>
          <w:shd w:val="clear" w:color="auto" w:fill="FFFFFF"/>
          <w:lang w:eastAsia="zh-CN"/>
        </w:rPr>
        <w:t>“三公”经费</w:t>
      </w:r>
      <w:r>
        <w:rPr>
          <w:rFonts w:hint="eastAsia" w:ascii="仿宋" w:hAnsi="仿宋" w:eastAsia="仿宋" w:cs="仿宋"/>
          <w:i w:val="0"/>
          <w:iCs w:val="0"/>
          <w:caps w:val="0"/>
          <w:color w:val="535353"/>
          <w:spacing w:val="0"/>
          <w:sz w:val="30"/>
          <w:szCs w:val="30"/>
          <w:shd w:val="clear" w:color="auto" w:fill="FFFFFF"/>
        </w:rPr>
        <w:t>、“机关运行经费”等重要事项的情况进行了详细分析和说明。四是加强监督检查。成立“互联网+监督”领导小组和办公室，制定工作方案，按照要求，认真做好“互联网+监督”各项工作，主动接受社会监督。五是认真开展专项整治。组织开展2018年党风廉政建设责任制落实情况督查，坚定不移落实中央八项规定和省委九项规定精神，持续反对“四风”，开展公务接待、公款旅游、公款送礼、违规滥发津补贴、违规操办婚丧喜庆事宜等方面的监督检查；公务接待一律禁酒；组织开展办公用房清理专项整治，区残联机关和直属单位杜绝了超标准使用办公用房现象。</w:t>
      </w:r>
    </w:p>
    <w:p w14:paraId="070B9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（2）严格公务接待管理，节约效果显著。我会积极响应厉行节约，减少公务接待次数，严控接待标准，2018年部门公务接待费共计1.97万元，比2017年决算数增加0.23万元，同比上升13.4%。</w:t>
      </w:r>
    </w:p>
    <w:p w14:paraId="2274B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（二）建立内部控制体系，内部管理日益规范</w:t>
      </w:r>
    </w:p>
    <w:p w14:paraId="39E04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1）建立单位层面、业务层面的管理架构、风险控制机制和监督评价机制。出台内控手册，内容涵盖预算管理、收支管理、合同管理、政府采购、资产管理等一系列内部管理操作流程。严格执行各项内部管理制度，进一步规范了经济业务活动，内部管理水平和单位运行效率逐步提高。启用用友财务软件，实现预算管理和收支管理两大业务的信息化建设。我会的财务软件除财务核算功能以外，还根据实际情况和现实需求，建立了预算指标系统和报销支付系统，并将内控手册有关要求嵌入系统中，从而实现了预算管理和收支管理内部控制的程序化和常态化，改变了我会预算和收支业务分块管理、信息分割、信息"孤岛"的局面，进一步提高了管理效率。信息化促使我会的管控效能迈上一个新的台阶。</w:t>
      </w:r>
    </w:p>
    <w:p w14:paraId="1B737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2）加强廉政风险防控。组织开展机关管理制度清理修订评估和廉政风险点排查，并制定防控措施，防止发生腐败。加强内部审计管理，加大对直属单位的监管力度，组织开展单位财务工作检查，会党组专题听取汇报，提出整改要求，坚决纠正各种违规行为。（3）主动接受派驻纪检组监督。会党组高度重视、切实尊重和积极支持纪检组履行职责，主动汇报工作，自觉接受监督，虚心听取意见建议。纪检组成员4次列席党组会议，多次参加区残联重要活动。</w:t>
      </w:r>
    </w:p>
    <w:p w14:paraId="0227D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（三）部门整体支出经济与社会效益情况</w:t>
      </w:r>
    </w:p>
    <w:p w14:paraId="35E6C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（1）加强残疾人证核发。截至2018年底，全区共办证13221本，办证率为34.2%，其中重度残疾人6571人，占比49.31%。不断优化残疾人事业发展外部环境。</w:t>
      </w:r>
    </w:p>
    <w:p w14:paraId="5F6BB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firstLineChars="200"/>
        <w:rPr>
          <w:rFonts w:hint="eastAsia" w:ascii="仿宋" w:hAnsi="仿宋" w:eastAsia="仿宋" w:cs="仿宋"/>
          <w:i w:val="0"/>
          <w:iCs w:val="0"/>
          <w:caps w:val="0"/>
          <w:color w:val="535353"/>
          <w:spacing w:val="0"/>
          <w:sz w:val="24"/>
          <w:szCs w:val="24"/>
        </w:rPr>
      </w:pPr>
      <w:r>
        <w:rPr>
          <w:rFonts w:hint="eastAsia" w:ascii="仿宋" w:hAnsi="仿宋" w:eastAsia="仿宋" w:cs="仿宋"/>
          <w:i w:val="0"/>
          <w:iCs w:val="0"/>
          <w:caps w:val="0"/>
          <w:color w:val="535353"/>
          <w:spacing w:val="0"/>
          <w:sz w:val="30"/>
          <w:szCs w:val="30"/>
          <w:shd w:val="clear" w:color="auto" w:fill="FFFFFF"/>
        </w:rPr>
        <w:t>（2）发展残疾人教育事业，</w:t>
      </w:r>
      <w:r>
        <w:rPr>
          <w:rStyle w:val="5"/>
          <w:rFonts w:hint="eastAsia" w:ascii="仿宋" w:hAnsi="仿宋" w:eastAsia="仿宋" w:cs="仿宋"/>
          <w:b w:val="0"/>
          <w:bCs w:val="0"/>
          <w:i w:val="0"/>
          <w:iCs w:val="0"/>
          <w:caps w:val="0"/>
          <w:color w:val="535353"/>
          <w:spacing w:val="0"/>
          <w:sz w:val="30"/>
          <w:szCs w:val="30"/>
          <w:shd w:val="clear" w:color="auto" w:fill="FFFFFF"/>
        </w:rPr>
        <w:t>教育助学应补尽补。2018年区残联</w:t>
      </w:r>
      <w:r>
        <w:rPr>
          <w:rFonts w:hint="eastAsia" w:ascii="仿宋" w:hAnsi="仿宋" w:eastAsia="仿宋" w:cs="仿宋"/>
          <w:i w:val="0"/>
          <w:iCs w:val="0"/>
          <w:caps w:val="0"/>
          <w:color w:val="535353"/>
          <w:spacing w:val="0"/>
          <w:sz w:val="30"/>
          <w:szCs w:val="30"/>
          <w:shd w:val="clear" w:color="auto" w:fill="FFFFFF"/>
        </w:rPr>
        <w:t>加大扶残助学力度，优先保障家庭困难的残疾学生及残疾人家庭子女享受普通高校国家助学金及其他助学政策，不断提高补助水平。家中有上高中及大专、大学的贫困残疾学生和贫困残疾人子女，可以向区残联申请助学资助，区残联根据省、市项目和资金情况，进行资助。2018年为6名高中阶段残疾学生和高中阶段贫困残疾人家庭子女资助6400元；为13名新入学的残疾人大学生及贫困残疾人家庭大学生申报助学补助4.2万元，配合教育部门对7—15岁未入学残疾儿童少年进行了摸底调查，并因地制宜落实就读方案，确保三类残疾儿童少年入学率达到98%。</w:t>
      </w:r>
    </w:p>
    <w:p w14:paraId="2A086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firstLineChars="200"/>
        <w:rPr>
          <w:rFonts w:hint="eastAsia" w:ascii="仿宋" w:hAnsi="仿宋" w:eastAsia="仿宋" w:cs="仿宋"/>
          <w:i w:val="0"/>
          <w:iCs w:val="0"/>
          <w:caps w:val="0"/>
          <w:color w:val="535353"/>
          <w:spacing w:val="0"/>
          <w:sz w:val="24"/>
          <w:szCs w:val="24"/>
        </w:rPr>
      </w:pPr>
      <w:r>
        <w:rPr>
          <w:rStyle w:val="5"/>
          <w:rFonts w:hint="eastAsia" w:ascii="仿宋" w:hAnsi="仿宋" w:eastAsia="仿宋" w:cs="仿宋"/>
          <w:b w:val="0"/>
          <w:bCs w:val="0"/>
          <w:i w:val="0"/>
          <w:iCs w:val="0"/>
          <w:caps w:val="0"/>
          <w:color w:val="535353"/>
          <w:spacing w:val="0"/>
          <w:sz w:val="30"/>
          <w:szCs w:val="30"/>
          <w:shd w:val="clear" w:color="auto" w:fill="FFFFFF"/>
        </w:rPr>
        <w:t>（3）残疾人“两项补贴”应审尽审。2018年7月区残联联合区民政局、三医院对享受残疾人两项补贴人员进行了复核，凡没有经过医院评定的人员必须到指定医院重新复核评定，为减轻残疾人负担相关评定费用统一由区残联支付。经过复核共清理出不符合享受“两项补贴”的残疾人273人，截止2018年12月区残联审核发放残疾人护理补贴4792人，贫困残疾人生活补贴2240人。使“两项补贴”更加公平、公开、公正，获得了残疾人群众的一致支持。       </w:t>
      </w:r>
    </w:p>
    <w:p w14:paraId="0A8C5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firstLineChars="200"/>
        <w:rPr>
          <w:rFonts w:hint="eastAsia" w:ascii="仿宋" w:hAnsi="仿宋" w:eastAsia="仿宋" w:cs="仿宋"/>
          <w:i w:val="0"/>
          <w:iCs w:val="0"/>
          <w:caps w:val="0"/>
          <w:color w:val="535353"/>
          <w:spacing w:val="0"/>
          <w:sz w:val="24"/>
          <w:szCs w:val="24"/>
        </w:rPr>
      </w:pPr>
      <w:r>
        <w:rPr>
          <w:rStyle w:val="5"/>
          <w:rFonts w:hint="eastAsia" w:ascii="仿宋" w:hAnsi="仿宋" w:eastAsia="仿宋" w:cs="仿宋"/>
          <w:b w:val="0"/>
          <w:bCs w:val="0"/>
          <w:i w:val="0"/>
          <w:iCs w:val="0"/>
          <w:caps w:val="0"/>
          <w:color w:val="535353"/>
          <w:spacing w:val="0"/>
          <w:sz w:val="30"/>
          <w:szCs w:val="30"/>
          <w:shd w:val="clear" w:color="auto" w:fill="FFFFFF"/>
        </w:rPr>
        <w:t>（4）、配合城乡养老保险局和医保局做好了贫困重度残疾人养老保险和医疗保险代缴。在残疾人的养老保险和医疗保险工作中，区残联积极协调相关部门，提供准确数据，为我区建档立卡重度残疾人1451人全额代缴了医疗和养老保险，使政府的扶贫惠民政策落实到每一位残疾人身上。</w:t>
      </w:r>
    </w:p>
    <w:p w14:paraId="06EB4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00" w:firstLineChars="200"/>
        <w:rPr>
          <w:rFonts w:hint="eastAsia" w:ascii="仿宋" w:hAnsi="仿宋" w:eastAsia="仿宋" w:cs="仿宋"/>
          <w:i w:val="0"/>
          <w:iCs w:val="0"/>
          <w:caps w:val="0"/>
          <w:color w:val="535353"/>
          <w:spacing w:val="0"/>
          <w:sz w:val="24"/>
          <w:szCs w:val="24"/>
        </w:rPr>
      </w:pPr>
      <w:r>
        <w:rPr>
          <w:rStyle w:val="5"/>
          <w:rFonts w:hint="eastAsia" w:ascii="仿宋" w:hAnsi="仿宋" w:eastAsia="仿宋" w:cs="仿宋"/>
          <w:b w:val="0"/>
          <w:bCs w:val="0"/>
          <w:i w:val="0"/>
          <w:iCs w:val="0"/>
          <w:caps w:val="0"/>
          <w:color w:val="535353"/>
          <w:spacing w:val="0"/>
          <w:sz w:val="30"/>
          <w:szCs w:val="30"/>
          <w:shd w:val="clear" w:color="auto" w:fill="FFFFFF"/>
        </w:rPr>
        <w:t>（5）、做好贫困残疾人精准康复、辅助器具适配工作。</w:t>
      </w:r>
      <w:r>
        <w:rPr>
          <w:rFonts w:hint="eastAsia" w:ascii="仿宋" w:hAnsi="仿宋" w:eastAsia="仿宋" w:cs="仿宋"/>
          <w:i w:val="0"/>
          <w:iCs w:val="0"/>
          <w:caps w:val="0"/>
          <w:color w:val="535353"/>
          <w:spacing w:val="0"/>
          <w:sz w:val="30"/>
          <w:szCs w:val="30"/>
          <w:shd w:val="clear" w:color="auto" w:fill="FFFFFF"/>
        </w:rPr>
        <w:t>制定了《冷水滩区残疾人精准康复服务实施方案》，截止2018年10月，为280名贫困残疾人提供了精准康复辅助器具适配服务，为35名0-6岁贫困残疾儿童提供免费抢救性康复，为1名贫困听力残疾儿童植入人工耳蜗并免费实施听力言语康复训练；对符合手术条件的建档立卡患者实施免费复明手术，累计实施复明手术65例，免费为303名困难残疾人提供轮椅、盲杖、双拐杖、助行器、四脚杖、适配假肢、脑瘫儿童站立训练架等辅助器具，为100名贫困精神病患者提供精神病服药康复服务。</w:t>
      </w:r>
    </w:p>
    <w:p w14:paraId="3E272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6）切实加强区残联自身党风廉政建设。落实全面从严治党，会党组制定推进全面从严治党纵深发展实施办法，推进“两学一做”学习教育常态化制度化实施方案等重要党建文件，建立党组理事会成员党建工作联系点、党员政治生日提醒、党费收缴使用管理、党支部主题党日、党支部“三会一课”纪实管理、党员积分制管理、党徽佩戴管理等一系列制度。积极配合区纪委派驻纪检组工作，会党组切实承担主体责任，组织开展机关内部管理制度修订，防范廉洁风险，认真开展谈心谈话等教育管理，促进干部职工始终绷紧廉政勤政这根弦。积极配合区委巡察第二组开展巡视，强力推进整改落实，促进区残联机关建设迈上新的台阶。</w:t>
      </w:r>
    </w:p>
    <w:p w14:paraId="7BDA4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五、存在的主要问题</w:t>
      </w:r>
    </w:p>
    <w:p w14:paraId="019C7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通过对部门整体支出绩效自评与分析，我会仍存在以下问题：</w:t>
      </w:r>
    </w:p>
    <w:p w14:paraId="5629E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一）预算控制率有待降低。扣除因无法纳入年初部门预算只能采用年中追加方式安排资金的因素影响，预算控制率有待进一步降低。主要原因是编制预算时应全面考虑，尽量预计并和财政沟通争取纳入年初预算，避免在年中进行预算追加和调整。</w:t>
      </w:r>
    </w:p>
    <w:p w14:paraId="2FC7B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(二)政府采购执行率有待降低。2018年度省残联部门政府采购预算金额35万元，政府采购实际金额48万元，实际采购超过年初预算13万元，原因是增加了残疾人托养服务政府购买服务计划。</w:t>
      </w:r>
    </w:p>
    <w:p w14:paraId="5759C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六、改进措施和建议</w:t>
      </w:r>
    </w:p>
    <w:p w14:paraId="16F11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一）科学预算编制。进一步提高各部室预算管理意识，按照财政预算编制要求及内部控制流程细化编制预算，进一步提高部门预算编制的科学性、合理性和全面性；在确保人员经费、必要的办公经费等基本支出需要的前提下制定切实可行的预算支出计划，保证计划的有效性；多与财政厅沟通，争取加大项目经费支出力度，避免年中追加经费，以影响部门预算控制率和政府采购执行率；</w:t>
      </w:r>
    </w:p>
    <w:p w14:paraId="48849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（二）严格预算执行。严格预算执行，规范审批程序，对重大年中预算调整事项应经充分性论证及集体决策，并逐级报批。同时，加强项目资金管理，提高资金使用效率，发挥资金使用效益。</w:t>
      </w:r>
    </w:p>
    <w:p w14:paraId="59BF2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00" w:firstLineChars="200"/>
        <w:jc w:val="both"/>
        <w:rPr>
          <w:rFonts w:hint="eastAsia" w:ascii="仿宋" w:hAnsi="仿宋" w:eastAsia="仿宋" w:cs="仿宋"/>
          <w:i w:val="0"/>
          <w:iCs w:val="0"/>
          <w:caps w:val="0"/>
          <w:color w:val="535353"/>
          <w:spacing w:val="0"/>
          <w:sz w:val="21"/>
          <w:szCs w:val="21"/>
        </w:rPr>
      </w:pPr>
      <w:r>
        <w:rPr>
          <w:rFonts w:hint="eastAsia" w:ascii="仿宋" w:hAnsi="仿宋" w:eastAsia="仿宋" w:cs="仿宋"/>
          <w:i w:val="0"/>
          <w:iCs w:val="0"/>
          <w:caps w:val="0"/>
          <w:color w:val="535353"/>
          <w:spacing w:val="0"/>
          <w:sz w:val="30"/>
          <w:szCs w:val="30"/>
          <w:shd w:val="clear" w:color="auto" w:fill="FFFFFF"/>
        </w:rPr>
        <w:t>（三）强化绩效管理。加强组织领导，建立长效绩效管理机制，将绩效评价作为我会经常性、长期性工作，强化评价结果运用。按照财政厅的要求，对绩效评价中发现的问题及时沟通、按时上报绩效自评报告、提出改进措施和建议，落实绩效问责制度。</w:t>
      </w:r>
    </w:p>
    <w:p w14:paraId="3BF06DF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C4455"/>
    <w:rsid w:val="0FB24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5974</Words>
  <Characters>6575</Characters>
  <Lines>0</Lines>
  <Paragraphs>0</Paragraphs>
  <TotalTime>0</TotalTime>
  <ScaleCrop>false</ScaleCrop>
  <LinksUpToDate>false</LinksUpToDate>
  <CharactersWithSpaces>6575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自由行走的胡萝北</cp:lastModifiedBy>
  <dcterms:modified xsi:type="dcterms:W3CDTF">2024-12-17T07:54:37Z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2A2B8CC1DEA646D5BFB686F98CBDD100_12</vt:lpwstr>
  </property>
</Properties>
</file>