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20" w:lineRule="exact"/>
        <w:jc w:val="center"/>
        <w:rPr>
          <w:rFonts w:hint="eastAsia" w:ascii="方正小标宋简体" w:eastAsia="方正小标宋简体"/>
          <w:color w:val="000000"/>
          <w:kern w:val="0"/>
          <w:sz w:val="36"/>
          <w:szCs w:val="36"/>
        </w:rPr>
      </w:pPr>
      <w:r>
        <w:rPr>
          <w:rFonts w:hint="eastAsia" w:ascii="方正小标宋简体" w:eastAsia="方正小标宋简体"/>
          <w:color w:val="000000"/>
          <w:kern w:val="0"/>
          <w:sz w:val="36"/>
          <w:szCs w:val="36"/>
        </w:rPr>
        <w:t>2018年度专项（项目）资金绩效自评报告</w:t>
      </w:r>
    </w:p>
    <w:p>
      <w:pPr>
        <w:spacing w:line="620" w:lineRule="exact"/>
        <w:jc w:val="center"/>
        <w:rPr>
          <w:rFonts w:hint="eastAsia" w:ascii="方正小标宋简体" w:eastAsia="方正小标宋简体"/>
          <w:color w:val="000000"/>
          <w:kern w:val="0"/>
          <w:sz w:val="36"/>
          <w:szCs w:val="36"/>
        </w:rPr>
      </w:pPr>
    </w:p>
    <w:p>
      <w:pPr>
        <w:spacing w:line="620" w:lineRule="exact"/>
        <w:ind w:firstLine="640" w:firstLineChars="200"/>
        <w:rPr>
          <w:rFonts w:ascii="黑体" w:eastAsia="黑体"/>
          <w:color w:val="000000"/>
          <w:kern w:val="0"/>
          <w:sz w:val="32"/>
          <w:szCs w:val="32"/>
        </w:rPr>
      </w:pPr>
      <w:r>
        <w:rPr>
          <w:rFonts w:hint="eastAsia" w:ascii="黑体" w:eastAsia="黑体"/>
          <w:color w:val="000000"/>
          <w:kern w:val="0"/>
          <w:sz w:val="32"/>
          <w:szCs w:val="32"/>
        </w:rPr>
        <w:t>一、项目概况</w:t>
      </w:r>
    </w:p>
    <w:p>
      <w:pPr>
        <w:spacing w:line="620" w:lineRule="exact"/>
        <w:ind w:firstLine="640" w:firstLineChars="200"/>
        <w:rPr>
          <w:rFonts w:eastAsia="仿宋_GB2312"/>
          <w:color w:val="000000"/>
          <w:kern w:val="0"/>
          <w:sz w:val="32"/>
          <w:szCs w:val="32"/>
        </w:rPr>
      </w:pPr>
      <w:r>
        <w:rPr>
          <w:rFonts w:eastAsia="仿宋_GB2312"/>
          <w:color w:val="000000"/>
          <w:kern w:val="0"/>
          <w:sz w:val="32"/>
          <w:szCs w:val="32"/>
        </w:rPr>
        <w:t>（一）项目单位基本情况</w:t>
      </w:r>
    </w:p>
    <w:p>
      <w:pPr>
        <w:spacing w:line="620" w:lineRule="exact"/>
        <w:ind w:firstLine="640" w:firstLineChars="200"/>
        <w:rPr>
          <w:rFonts w:hint="eastAsia" w:eastAsia="仿宋_GB2312"/>
          <w:color w:val="000000"/>
          <w:kern w:val="0"/>
          <w:sz w:val="32"/>
          <w:szCs w:val="32"/>
          <w:lang w:eastAsia="zh-CN"/>
        </w:rPr>
      </w:pPr>
      <w:r>
        <w:rPr>
          <w:rFonts w:hint="eastAsia" w:eastAsia="仿宋_GB2312"/>
          <w:color w:val="000000"/>
          <w:kern w:val="0"/>
          <w:sz w:val="32"/>
          <w:szCs w:val="32"/>
        </w:rPr>
        <w:t>1、机构设置：冷水滩区司法局设办公室、基层工作股、司法鉴定股、公证律师管理股四个内设机构，下属司法所:上岭桥、岚角山、伊塘、蔡市、曲河、梅湾、菱角山、肖家园、杨家桥、珊瑚、工业园区、梧桐、凤凰、马坪、高溪市、黄阳司、牛角坝、普利桥、杨村甸、花桥20个</w:t>
      </w:r>
      <w:r>
        <w:rPr>
          <w:rFonts w:hint="eastAsia" w:eastAsia="仿宋_GB2312"/>
          <w:color w:val="000000"/>
          <w:kern w:val="0"/>
          <w:sz w:val="32"/>
          <w:szCs w:val="32"/>
          <w:lang w:eastAsia="zh-CN"/>
        </w:rPr>
        <w:t>。</w:t>
      </w:r>
    </w:p>
    <w:p>
      <w:pPr>
        <w:spacing w:line="620" w:lineRule="exact"/>
        <w:ind w:firstLine="640" w:firstLineChars="200"/>
        <w:rPr>
          <w:rFonts w:hint="eastAsia" w:eastAsia="仿宋_GB2312"/>
          <w:color w:val="000000"/>
          <w:kern w:val="0"/>
          <w:sz w:val="32"/>
          <w:szCs w:val="32"/>
        </w:rPr>
      </w:pPr>
      <w:r>
        <w:rPr>
          <w:rFonts w:hint="eastAsia" w:eastAsia="仿宋_GB2312"/>
          <w:color w:val="000000"/>
          <w:kern w:val="0"/>
          <w:sz w:val="32"/>
          <w:szCs w:val="32"/>
        </w:rPr>
        <w:t>2、人员编制情况：政法编制数74人，实有人数共102人，其中在职人员82人（本年</w:t>
      </w:r>
      <w:r>
        <w:rPr>
          <w:rFonts w:hint="eastAsia" w:eastAsia="仿宋_GB2312"/>
          <w:color w:val="000000"/>
          <w:kern w:val="0"/>
          <w:sz w:val="32"/>
          <w:szCs w:val="32"/>
          <w:lang w:eastAsia="zh-CN"/>
        </w:rPr>
        <w:t>度</w:t>
      </w:r>
      <w:r>
        <w:rPr>
          <w:rFonts w:hint="eastAsia" w:eastAsia="仿宋_GB2312"/>
          <w:color w:val="000000"/>
          <w:kern w:val="0"/>
          <w:sz w:val="32"/>
          <w:szCs w:val="32"/>
        </w:rPr>
        <w:t>调离本单位2人），退休人员20人（含新增退休人员1人）。</w:t>
      </w:r>
    </w:p>
    <w:p>
      <w:pPr>
        <w:spacing w:line="620" w:lineRule="exact"/>
        <w:ind w:firstLine="640" w:firstLineChars="200"/>
        <w:rPr>
          <w:rFonts w:eastAsia="仿宋_GB2312"/>
          <w:color w:val="000000"/>
          <w:kern w:val="0"/>
          <w:sz w:val="32"/>
          <w:szCs w:val="32"/>
        </w:rPr>
      </w:pPr>
      <w:r>
        <w:rPr>
          <w:rFonts w:hint="eastAsia" w:eastAsia="仿宋_GB2312"/>
          <w:color w:val="000000"/>
          <w:kern w:val="0"/>
          <w:sz w:val="32"/>
          <w:szCs w:val="32"/>
        </w:rPr>
        <w:t>3、车辆编制情况：车辆编制</w:t>
      </w:r>
      <w:r>
        <w:rPr>
          <w:rFonts w:hint="eastAsia" w:eastAsia="仿宋_GB2312"/>
          <w:color w:val="000000"/>
          <w:kern w:val="0"/>
          <w:sz w:val="32"/>
          <w:szCs w:val="32"/>
          <w:lang w:val="en-US" w:eastAsia="zh-CN"/>
        </w:rPr>
        <w:t>2</w:t>
      </w:r>
      <w:r>
        <w:rPr>
          <w:rFonts w:hint="eastAsia" w:eastAsia="仿宋_GB2312"/>
          <w:color w:val="000000"/>
          <w:kern w:val="0"/>
          <w:sz w:val="32"/>
          <w:szCs w:val="32"/>
        </w:rPr>
        <w:t>辆。</w:t>
      </w:r>
      <w:r>
        <w:rPr>
          <w:rFonts w:hint="eastAsia" w:eastAsia="仿宋_GB2312"/>
          <w:color w:val="000000"/>
          <w:kern w:val="0"/>
          <w:sz w:val="32"/>
          <w:szCs w:val="32"/>
          <w:lang w:eastAsia="zh-CN"/>
        </w:rPr>
        <w:t>其中</w:t>
      </w:r>
      <w:r>
        <w:rPr>
          <w:rFonts w:hint="eastAsia" w:eastAsia="仿宋_GB2312"/>
          <w:color w:val="000000"/>
          <w:kern w:val="0"/>
          <w:sz w:val="32"/>
          <w:szCs w:val="32"/>
        </w:rPr>
        <w:t>执</w:t>
      </w:r>
      <w:r>
        <w:rPr>
          <w:rFonts w:hint="eastAsia" w:eastAsia="仿宋_GB2312"/>
          <w:color w:val="000000"/>
          <w:kern w:val="0"/>
          <w:sz w:val="32"/>
          <w:szCs w:val="32"/>
          <w:lang w:eastAsia="zh-CN"/>
        </w:rPr>
        <w:t>勤</w:t>
      </w:r>
      <w:r>
        <w:rPr>
          <w:rFonts w:hint="eastAsia" w:eastAsia="仿宋_GB2312"/>
          <w:color w:val="000000"/>
          <w:kern w:val="0"/>
          <w:sz w:val="32"/>
          <w:szCs w:val="32"/>
        </w:rPr>
        <w:t>执法车</w:t>
      </w:r>
      <w:r>
        <w:rPr>
          <w:rFonts w:hint="eastAsia" w:eastAsia="仿宋_GB2312"/>
          <w:color w:val="000000"/>
          <w:kern w:val="0"/>
          <w:sz w:val="32"/>
          <w:szCs w:val="32"/>
          <w:lang w:val="en-US" w:eastAsia="zh-CN"/>
        </w:rPr>
        <w:t>2</w:t>
      </w:r>
      <w:r>
        <w:rPr>
          <w:rFonts w:hint="eastAsia" w:eastAsia="仿宋_GB2312"/>
          <w:color w:val="000000"/>
          <w:kern w:val="0"/>
          <w:sz w:val="32"/>
          <w:szCs w:val="32"/>
        </w:rPr>
        <w:t>辆。</w:t>
      </w:r>
    </w:p>
    <w:p>
      <w:pPr>
        <w:spacing w:line="620" w:lineRule="exact"/>
        <w:ind w:firstLine="640" w:firstLineChars="200"/>
        <w:rPr>
          <w:rFonts w:eastAsia="仿宋_GB2312"/>
          <w:color w:val="000000"/>
          <w:kern w:val="0"/>
          <w:sz w:val="32"/>
          <w:szCs w:val="32"/>
        </w:rPr>
      </w:pPr>
      <w:r>
        <w:rPr>
          <w:rFonts w:eastAsia="仿宋_GB2312"/>
          <w:color w:val="000000"/>
          <w:kern w:val="0"/>
          <w:sz w:val="32"/>
          <w:szCs w:val="32"/>
        </w:rPr>
        <w:t>（二）项目</w:t>
      </w:r>
      <w:r>
        <w:rPr>
          <w:rFonts w:hint="eastAsia" w:eastAsia="仿宋_GB2312"/>
          <w:color w:val="000000"/>
          <w:kern w:val="0"/>
          <w:sz w:val="32"/>
          <w:szCs w:val="32"/>
        </w:rPr>
        <w:t>预算和绩效目标</w:t>
      </w:r>
      <w:r>
        <w:rPr>
          <w:rFonts w:eastAsia="仿宋_GB2312"/>
          <w:color w:val="000000"/>
          <w:kern w:val="0"/>
          <w:sz w:val="32"/>
          <w:szCs w:val="32"/>
        </w:rPr>
        <w:t>情况简介</w:t>
      </w:r>
    </w:p>
    <w:p>
      <w:pPr>
        <w:spacing w:line="620" w:lineRule="exact"/>
        <w:ind w:firstLine="640" w:firstLineChars="200"/>
        <w:rPr>
          <w:rFonts w:hint="eastAsia" w:eastAsia="仿宋_GB2312"/>
          <w:color w:val="000000"/>
          <w:kern w:val="0"/>
          <w:sz w:val="32"/>
          <w:szCs w:val="32"/>
        </w:rPr>
      </w:pPr>
      <w:r>
        <w:rPr>
          <w:rFonts w:hint="eastAsia" w:eastAsia="仿宋_GB2312"/>
          <w:color w:val="000000"/>
          <w:kern w:val="0"/>
          <w:sz w:val="32"/>
          <w:szCs w:val="32"/>
        </w:rPr>
        <w:t>1、贯彻执行国家和省、市、区有关司法行政工作的方针、政策和法律、法规、规章，编制全区司法行政发展规划和年度计划并监督实施。</w:t>
      </w:r>
    </w:p>
    <w:p>
      <w:pPr>
        <w:spacing w:line="620" w:lineRule="exact"/>
        <w:ind w:firstLine="640" w:firstLineChars="200"/>
        <w:rPr>
          <w:rFonts w:hint="eastAsia" w:eastAsia="仿宋_GB2312"/>
          <w:color w:val="000000"/>
          <w:kern w:val="0"/>
          <w:sz w:val="32"/>
          <w:szCs w:val="32"/>
        </w:rPr>
      </w:pPr>
      <w:r>
        <w:rPr>
          <w:rFonts w:hint="eastAsia" w:eastAsia="仿宋_GB2312"/>
          <w:color w:val="000000"/>
          <w:kern w:val="0"/>
          <w:sz w:val="32"/>
          <w:szCs w:val="32"/>
        </w:rPr>
        <w:t>2、组织实施司法行政方面的法律、法规和规章。</w:t>
      </w:r>
    </w:p>
    <w:p>
      <w:pPr>
        <w:spacing w:line="620" w:lineRule="exact"/>
        <w:ind w:firstLine="640" w:firstLineChars="200"/>
        <w:rPr>
          <w:rFonts w:hint="eastAsia" w:eastAsia="仿宋_GB2312"/>
          <w:color w:val="000000"/>
          <w:kern w:val="0"/>
          <w:sz w:val="32"/>
          <w:szCs w:val="32"/>
        </w:rPr>
      </w:pPr>
      <w:r>
        <w:rPr>
          <w:rFonts w:hint="eastAsia" w:eastAsia="仿宋_GB2312"/>
          <w:color w:val="000000"/>
          <w:kern w:val="0"/>
          <w:sz w:val="32"/>
          <w:szCs w:val="32"/>
        </w:rPr>
        <w:t>3、指导全区普法依法治理工作；参与社会治安综合治理工作。</w:t>
      </w:r>
    </w:p>
    <w:p>
      <w:pPr>
        <w:spacing w:line="620" w:lineRule="exact"/>
        <w:ind w:firstLine="640" w:firstLineChars="200"/>
        <w:rPr>
          <w:rFonts w:hint="eastAsia" w:eastAsia="仿宋_GB2312"/>
          <w:color w:val="000000"/>
          <w:kern w:val="0"/>
          <w:sz w:val="32"/>
          <w:szCs w:val="32"/>
        </w:rPr>
      </w:pPr>
      <w:r>
        <w:rPr>
          <w:rFonts w:hint="eastAsia" w:eastAsia="仿宋_GB2312"/>
          <w:color w:val="000000"/>
          <w:kern w:val="0"/>
          <w:sz w:val="32"/>
          <w:szCs w:val="32"/>
        </w:rPr>
        <w:t>4、指导监督全区律师工作和公证工作；负责管理本级工作机构。</w:t>
      </w:r>
    </w:p>
    <w:p>
      <w:pPr>
        <w:spacing w:line="620" w:lineRule="exact"/>
        <w:ind w:firstLine="640" w:firstLineChars="200"/>
        <w:rPr>
          <w:rFonts w:hint="eastAsia" w:eastAsia="仿宋_GB2312"/>
          <w:color w:val="000000"/>
          <w:kern w:val="0"/>
          <w:sz w:val="32"/>
          <w:szCs w:val="32"/>
        </w:rPr>
      </w:pPr>
      <w:r>
        <w:rPr>
          <w:rFonts w:hint="eastAsia" w:eastAsia="仿宋_GB2312"/>
          <w:color w:val="000000"/>
          <w:kern w:val="0"/>
          <w:sz w:val="32"/>
          <w:szCs w:val="32"/>
        </w:rPr>
        <w:t>5、监督管理全区法律援助工作。</w:t>
      </w:r>
    </w:p>
    <w:p>
      <w:pPr>
        <w:spacing w:line="620" w:lineRule="exact"/>
        <w:ind w:firstLine="640" w:firstLineChars="200"/>
        <w:rPr>
          <w:rFonts w:hint="eastAsia" w:eastAsia="仿宋_GB2312"/>
          <w:color w:val="000000"/>
          <w:kern w:val="0"/>
          <w:sz w:val="32"/>
          <w:szCs w:val="32"/>
        </w:rPr>
      </w:pPr>
      <w:r>
        <w:rPr>
          <w:rFonts w:hint="eastAsia" w:eastAsia="仿宋_GB2312"/>
          <w:color w:val="000000"/>
          <w:kern w:val="0"/>
          <w:sz w:val="32"/>
          <w:szCs w:val="32"/>
        </w:rPr>
        <w:t>6、指导监督全区基层司法所建设和人民调解、社区矫正、基层法律服务和安置帮教工作。</w:t>
      </w:r>
    </w:p>
    <w:p>
      <w:pPr>
        <w:spacing w:line="620" w:lineRule="exact"/>
        <w:ind w:firstLine="640" w:firstLineChars="200"/>
        <w:rPr>
          <w:rFonts w:hint="eastAsia" w:eastAsia="仿宋_GB2312"/>
          <w:color w:val="000000"/>
          <w:kern w:val="0"/>
          <w:sz w:val="32"/>
          <w:szCs w:val="32"/>
        </w:rPr>
      </w:pPr>
      <w:r>
        <w:rPr>
          <w:rFonts w:hint="eastAsia" w:eastAsia="仿宋_GB2312"/>
          <w:color w:val="000000"/>
          <w:kern w:val="0"/>
          <w:sz w:val="32"/>
          <w:szCs w:val="32"/>
        </w:rPr>
        <w:t>7、指导、管理、监督全区司法行政系统的计划财务及服装、警车等物资装备工作。</w:t>
      </w:r>
    </w:p>
    <w:p>
      <w:pPr>
        <w:spacing w:line="620" w:lineRule="exact"/>
        <w:ind w:firstLine="640" w:firstLineChars="200"/>
        <w:rPr>
          <w:rFonts w:hint="eastAsia" w:eastAsia="仿宋_GB2312"/>
          <w:color w:val="000000"/>
          <w:kern w:val="0"/>
          <w:sz w:val="32"/>
          <w:szCs w:val="32"/>
        </w:rPr>
      </w:pPr>
      <w:r>
        <w:rPr>
          <w:rFonts w:hint="eastAsia" w:eastAsia="仿宋_GB2312"/>
          <w:color w:val="000000"/>
          <w:kern w:val="0"/>
          <w:sz w:val="32"/>
          <w:szCs w:val="32"/>
        </w:rPr>
        <w:t>8、负责全区司法行政机关队伍建设和思想政治工作，管理局机关及司法所机构编制、干部人事和劳动工作，按照干部管理权限规定管理司法局干部队伍。</w:t>
      </w:r>
    </w:p>
    <w:p>
      <w:pPr>
        <w:spacing w:line="620" w:lineRule="exact"/>
        <w:ind w:firstLine="640" w:firstLineChars="200"/>
        <w:rPr>
          <w:rFonts w:hint="eastAsia" w:eastAsia="仿宋_GB2312"/>
          <w:color w:val="FF0000"/>
          <w:kern w:val="0"/>
          <w:sz w:val="32"/>
          <w:szCs w:val="32"/>
        </w:rPr>
      </w:pPr>
      <w:r>
        <w:rPr>
          <w:rFonts w:hint="eastAsia" w:ascii="黑体" w:eastAsia="黑体"/>
          <w:color w:val="000000"/>
          <w:kern w:val="0"/>
          <w:sz w:val="32"/>
          <w:szCs w:val="32"/>
        </w:rPr>
        <w:t>二、项目组织实施情况</w:t>
      </w:r>
    </w:p>
    <w:p>
      <w:pPr>
        <w:spacing w:line="620" w:lineRule="exact"/>
        <w:ind w:firstLine="640" w:firstLineChars="200"/>
        <w:rPr>
          <w:rFonts w:hint="eastAsia" w:eastAsia="仿宋_GB2312"/>
          <w:color w:val="auto"/>
          <w:kern w:val="0"/>
          <w:sz w:val="32"/>
          <w:szCs w:val="32"/>
        </w:rPr>
      </w:pPr>
      <w:r>
        <w:rPr>
          <w:rFonts w:hint="eastAsia" w:eastAsia="仿宋_GB2312"/>
          <w:color w:val="auto"/>
          <w:kern w:val="0"/>
          <w:sz w:val="32"/>
          <w:szCs w:val="32"/>
        </w:rPr>
        <w:t>2018年，我局工作在区委、区政府及上级司法行政机关的正确领导下，坚持稳中求进，强化创新引领，在维护社会稳定、建设法治冷水滩、化解矛盾纠纷、优化法律服务等方面，做了以下几个方面的工作：</w:t>
      </w:r>
    </w:p>
    <w:p>
      <w:pPr>
        <w:spacing w:line="620" w:lineRule="exact"/>
        <w:ind w:firstLine="640" w:firstLineChars="200"/>
        <w:rPr>
          <w:rFonts w:hint="eastAsia" w:eastAsia="仿宋_GB2312"/>
          <w:color w:val="auto"/>
          <w:kern w:val="0"/>
          <w:sz w:val="32"/>
          <w:szCs w:val="32"/>
        </w:rPr>
      </w:pPr>
      <w:r>
        <w:rPr>
          <w:rFonts w:hint="eastAsia" w:eastAsia="仿宋_GB2312"/>
          <w:color w:val="auto"/>
          <w:kern w:val="0"/>
          <w:sz w:val="32"/>
          <w:szCs w:val="32"/>
          <w:lang w:eastAsia="zh-CN"/>
        </w:rPr>
        <w:t>（一）</w:t>
      </w:r>
      <w:r>
        <w:rPr>
          <w:rFonts w:hint="eastAsia" w:eastAsia="仿宋_GB2312"/>
          <w:color w:val="auto"/>
          <w:kern w:val="0"/>
          <w:sz w:val="32"/>
          <w:szCs w:val="32"/>
        </w:rPr>
        <w:t>强化普法宣传教育</w:t>
      </w:r>
    </w:p>
    <w:p>
      <w:pPr>
        <w:spacing w:line="620" w:lineRule="exact"/>
        <w:ind w:firstLine="640" w:firstLineChars="200"/>
        <w:rPr>
          <w:rFonts w:hint="eastAsia" w:eastAsia="仿宋_GB2312"/>
          <w:color w:val="auto"/>
          <w:kern w:val="0"/>
          <w:sz w:val="32"/>
          <w:szCs w:val="32"/>
        </w:rPr>
      </w:pPr>
      <w:r>
        <w:rPr>
          <w:rFonts w:hint="eastAsia" w:eastAsia="仿宋_GB2312"/>
          <w:color w:val="auto"/>
          <w:kern w:val="0"/>
          <w:sz w:val="32"/>
          <w:szCs w:val="32"/>
        </w:rPr>
        <w:t>今年，开展了多次影响力大的宣传活动。3月5日，区司法局、区妇联、团区委联合开展了“三八”妇女维权周集中宣传活动和“3.5”志愿者日宣传活动；3月24日，在普利桥镇开展南方农耕文化节法治宣传活动；4月13日，多部门联合在普利桥镇举办“拒绝毒品 美丽乡村”大型禁毒法治宣传活动，活动中共表演禁毒文艺节目12个，发放各类禁毒法制资料5000余份；6月22日在区政府广场隆重举行了“弘扬宪法精神、建设法治乡村、助力乡村振兴”为主题的宪法学习宣传暨农村法治宣传教育月活动启动仪式，全区各乡镇街道、区直单位分管领导参加，各级各单位以宪法学习宣传活动为契机，特别是“谁执法谁普法”区直部门在职能范围内，采取摆摊设点等形式，深入各乡镇、街道、农贸市场等人口密集区域，开展了为期一个月的宪法宣传和《劳动法》、《安全生产法》等相关法律法规的宣传活动，发放法治宣传资料，普及法律知识。据统计，共发放宪法等法律知识1.8万余册。</w:t>
      </w:r>
    </w:p>
    <w:p>
      <w:pPr>
        <w:spacing w:line="620" w:lineRule="exact"/>
        <w:ind w:firstLine="640" w:firstLineChars="200"/>
        <w:rPr>
          <w:rFonts w:hint="eastAsia" w:eastAsia="仿宋_GB2312"/>
          <w:color w:val="auto"/>
          <w:kern w:val="0"/>
          <w:sz w:val="32"/>
          <w:szCs w:val="32"/>
        </w:rPr>
      </w:pPr>
      <w:r>
        <w:rPr>
          <w:rFonts w:hint="eastAsia" w:eastAsia="仿宋_GB2312"/>
          <w:color w:val="auto"/>
          <w:kern w:val="0"/>
          <w:sz w:val="32"/>
          <w:szCs w:val="32"/>
          <w:lang w:eastAsia="zh-CN"/>
        </w:rPr>
        <w:t>（二）</w:t>
      </w:r>
      <w:r>
        <w:rPr>
          <w:rFonts w:hint="eastAsia" w:eastAsia="仿宋_GB2312"/>
          <w:color w:val="auto"/>
          <w:kern w:val="0"/>
          <w:sz w:val="32"/>
          <w:szCs w:val="32"/>
        </w:rPr>
        <w:t>建立矛盾纠纷多元化化解机制</w:t>
      </w:r>
    </w:p>
    <w:p>
      <w:pPr>
        <w:spacing w:line="620" w:lineRule="exact"/>
        <w:ind w:firstLine="640" w:firstLineChars="200"/>
        <w:rPr>
          <w:rFonts w:hint="eastAsia" w:eastAsia="仿宋_GB2312"/>
          <w:color w:val="auto"/>
          <w:kern w:val="0"/>
          <w:sz w:val="32"/>
          <w:szCs w:val="32"/>
        </w:rPr>
      </w:pPr>
      <w:r>
        <w:rPr>
          <w:rFonts w:hint="eastAsia" w:eastAsia="仿宋_GB2312"/>
          <w:color w:val="auto"/>
          <w:kern w:val="0"/>
          <w:sz w:val="32"/>
          <w:szCs w:val="32"/>
        </w:rPr>
        <w:t>2018年我区各级人民调解委员会</w:t>
      </w:r>
      <w:r>
        <w:rPr>
          <w:rFonts w:hint="eastAsia" w:eastAsia="仿宋_GB2312"/>
          <w:color w:val="auto"/>
          <w:kern w:val="0"/>
          <w:sz w:val="32"/>
          <w:szCs w:val="32"/>
          <w:lang w:eastAsia="zh-CN"/>
        </w:rPr>
        <w:t>组织</w:t>
      </w:r>
      <w:r>
        <w:rPr>
          <w:rFonts w:hint="eastAsia" w:eastAsia="仿宋_GB2312"/>
          <w:color w:val="auto"/>
          <w:kern w:val="0"/>
          <w:sz w:val="32"/>
          <w:szCs w:val="32"/>
        </w:rPr>
        <w:t>排查各项矛盾纠纷，预防各类矛盾纠纷</w:t>
      </w:r>
      <w:r>
        <w:rPr>
          <w:rFonts w:hint="eastAsia" w:eastAsia="仿宋_GB2312"/>
          <w:color w:val="auto"/>
          <w:kern w:val="0"/>
          <w:sz w:val="32"/>
          <w:szCs w:val="32"/>
          <w:lang w:val="en-US" w:eastAsia="zh-CN"/>
        </w:rPr>
        <w:t>，</w:t>
      </w:r>
      <w:r>
        <w:rPr>
          <w:rFonts w:hint="eastAsia" w:eastAsia="仿宋_GB2312"/>
          <w:color w:val="auto"/>
          <w:kern w:val="0"/>
          <w:sz w:val="32"/>
          <w:szCs w:val="32"/>
        </w:rPr>
        <w:t>防止民间纠纷转化为刑事案件</w:t>
      </w:r>
      <w:r>
        <w:rPr>
          <w:rFonts w:hint="eastAsia" w:eastAsia="仿宋_GB2312"/>
          <w:color w:val="auto"/>
          <w:kern w:val="0"/>
          <w:sz w:val="32"/>
          <w:szCs w:val="32"/>
          <w:lang w:val="en-US" w:eastAsia="zh-CN"/>
        </w:rPr>
        <w:t>，</w:t>
      </w:r>
      <w:r>
        <w:rPr>
          <w:rFonts w:hint="eastAsia" w:eastAsia="仿宋_GB2312"/>
          <w:color w:val="auto"/>
          <w:kern w:val="0"/>
          <w:sz w:val="32"/>
          <w:szCs w:val="32"/>
        </w:rPr>
        <w:t>防止群体性上访。有效预防和减少民间纠纷的发生，防止矛盾纠纷激化转为刑事案件和非正常死亡事件。</w:t>
      </w:r>
    </w:p>
    <w:p>
      <w:pPr>
        <w:spacing w:line="620" w:lineRule="exact"/>
        <w:ind w:firstLine="640" w:firstLineChars="200"/>
        <w:rPr>
          <w:rFonts w:hint="eastAsia" w:eastAsia="仿宋_GB2312"/>
          <w:color w:val="auto"/>
          <w:kern w:val="0"/>
          <w:sz w:val="32"/>
          <w:szCs w:val="32"/>
        </w:rPr>
      </w:pPr>
      <w:r>
        <w:rPr>
          <w:rFonts w:hint="eastAsia" w:eastAsia="仿宋_GB2312"/>
          <w:color w:val="auto"/>
          <w:kern w:val="0"/>
          <w:sz w:val="32"/>
          <w:szCs w:val="32"/>
          <w:lang w:eastAsia="zh-CN"/>
        </w:rPr>
        <w:t>（三）</w:t>
      </w:r>
      <w:r>
        <w:rPr>
          <w:rFonts w:hint="eastAsia" w:eastAsia="仿宋_GB2312"/>
          <w:color w:val="auto"/>
          <w:kern w:val="0"/>
          <w:sz w:val="32"/>
          <w:szCs w:val="32"/>
        </w:rPr>
        <w:t>加强特殊人群监管工作</w:t>
      </w:r>
    </w:p>
    <w:p>
      <w:pPr>
        <w:spacing w:line="620" w:lineRule="exact"/>
        <w:ind w:firstLine="640" w:firstLineChars="200"/>
        <w:rPr>
          <w:rFonts w:hint="eastAsia" w:eastAsia="仿宋_GB2312"/>
          <w:color w:val="auto"/>
          <w:kern w:val="0"/>
          <w:sz w:val="32"/>
          <w:szCs w:val="32"/>
        </w:rPr>
      </w:pPr>
      <w:r>
        <w:rPr>
          <w:rFonts w:hint="eastAsia" w:eastAsia="仿宋_GB2312"/>
          <w:color w:val="auto"/>
          <w:kern w:val="0"/>
          <w:sz w:val="32"/>
          <w:szCs w:val="32"/>
        </w:rPr>
        <w:t>我们在全区20个司法所建立了全国联网的社区矫正工作信息网络，加强了信息反馈。同时，我们对社区服刑人员安装了定位管理系统，对社区服刑人员每天进行24小时定位跟踪管理。</w:t>
      </w:r>
    </w:p>
    <w:p>
      <w:pPr>
        <w:spacing w:line="620" w:lineRule="exact"/>
        <w:ind w:firstLine="640" w:firstLineChars="200"/>
        <w:rPr>
          <w:rFonts w:hint="eastAsia" w:eastAsia="仿宋_GB2312"/>
          <w:color w:val="auto"/>
          <w:kern w:val="0"/>
          <w:sz w:val="32"/>
          <w:szCs w:val="32"/>
        </w:rPr>
      </w:pPr>
      <w:r>
        <w:rPr>
          <w:rFonts w:hint="eastAsia" w:eastAsia="仿宋_GB2312"/>
          <w:color w:val="auto"/>
          <w:kern w:val="0"/>
          <w:sz w:val="32"/>
          <w:szCs w:val="32"/>
          <w:lang w:eastAsia="zh-CN"/>
        </w:rPr>
        <w:t>（四）</w:t>
      </w:r>
      <w:r>
        <w:rPr>
          <w:rFonts w:hint="eastAsia" w:eastAsia="仿宋_GB2312"/>
          <w:color w:val="auto"/>
          <w:kern w:val="0"/>
          <w:sz w:val="32"/>
          <w:szCs w:val="32"/>
        </w:rPr>
        <w:t>加强公共法律服务体系建设</w:t>
      </w:r>
    </w:p>
    <w:p>
      <w:pPr>
        <w:spacing w:line="620" w:lineRule="exact"/>
        <w:ind w:firstLine="640" w:firstLineChars="200"/>
        <w:rPr>
          <w:rFonts w:hint="eastAsia" w:eastAsia="仿宋_GB2312"/>
          <w:color w:val="auto"/>
          <w:kern w:val="0"/>
          <w:sz w:val="32"/>
          <w:szCs w:val="32"/>
        </w:rPr>
      </w:pPr>
      <w:r>
        <w:rPr>
          <w:rFonts w:hint="eastAsia" w:eastAsia="仿宋_GB2312"/>
          <w:color w:val="auto"/>
          <w:kern w:val="0"/>
          <w:sz w:val="32"/>
          <w:szCs w:val="32"/>
        </w:rPr>
        <w:t>2018年，全区建立公共法律服务站，在行政村、社区建了公共法律服务点，每个工作站、点都委派了1-2名驻点律师。组建了公共法律志愿者队伍，壮大公共法律人员的队伍。</w:t>
      </w:r>
    </w:p>
    <w:p>
      <w:pPr>
        <w:spacing w:line="620" w:lineRule="exact"/>
        <w:ind w:firstLine="640" w:firstLineChars="200"/>
        <w:rPr>
          <w:rFonts w:ascii="黑体" w:eastAsia="黑体"/>
          <w:color w:val="000000"/>
          <w:kern w:val="0"/>
          <w:sz w:val="32"/>
          <w:szCs w:val="32"/>
        </w:rPr>
      </w:pPr>
      <w:r>
        <w:rPr>
          <w:rFonts w:hint="eastAsia" w:ascii="黑体" w:eastAsia="黑体"/>
          <w:color w:val="000000"/>
          <w:kern w:val="0"/>
          <w:sz w:val="32"/>
          <w:szCs w:val="32"/>
        </w:rPr>
        <w:t>三、项目资金使用及管理情况</w:t>
      </w:r>
    </w:p>
    <w:p>
      <w:pPr>
        <w:spacing w:line="620" w:lineRule="exact"/>
        <w:ind w:firstLine="640" w:firstLineChars="200"/>
        <w:rPr>
          <w:rFonts w:hint="eastAsia" w:eastAsia="仿宋_GB2312"/>
          <w:color w:val="000000"/>
          <w:kern w:val="0"/>
          <w:sz w:val="32"/>
          <w:szCs w:val="32"/>
        </w:rPr>
      </w:pPr>
      <w:r>
        <w:rPr>
          <w:rFonts w:hint="eastAsia" w:eastAsia="仿宋_GB2312"/>
          <w:color w:val="000000"/>
          <w:kern w:val="0"/>
          <w:sz w:val="32"/>
          <w:szCs w:val="32"/>
        </w:rPr>
        <w:t>（一）项目资金来源</w:t>
      </w:r>
    </w:p>
    <w:p>
      <w:pPr>
        <w:spacing w:line="620" w:lineRule="exact"/>
        <w:ind w:firstLine="640" w:firstLineChars="200"/>
        <w:rPr>
          <w:rFonts w:hint="eastAsia" w:eastAsia="仿宋_GB2312"/>
          <w:color w:val="000000"/>
          <w:kern w:val="0"/>
          <w:sz w:val="32"/>
          <w:szCs w:val="32"/>
        </w:rPr>
      </w:pPr>
      <w:r>
        <w:rPr>
          <w:rFonts w:hint="eastAsia" w:eastAsia="仿宋_GB2312"/>
          <w:color w:val="000000"/>
          <w:kern w:val="0"/>
          <w:sz w:val="32"/>
          <w:szCs w:val="32"/>
        </w:rPr>
        <w:t xml:space="preserve"> </w:t>
      </w:r>
      <w:r>
        <w:rPr>
          <w:rFonts w:hint="eastAsia" w:eastAsia="仿宋_GB2312"/>
          <w:color w:val="000000"/>
          <w:kern w:val="0"/>
          <w:sz w:val="32"/>
          <w:szCs w:val="32"/>
          <w:lang w:val="en-US" w:eastAsia="zh-CN"/>
        </w:rPr>
        <w:t>2018年</w:t>
      </w:r>
      <w:r>
        <w:rPr>
          <w:rFonts w:hint="eastAsia" w:eastAsia="仿宋_GB2312"/>
          <w:color w:val="000000"/>
          <w:kern w:val="0"/>
          <w:sz w:val="32"/>
          <w:szCs w:val="32"/>
        </w:rPr>
        <w:t>区本级财政安排专</w:t>
      </w:r>
      <w:r>
        <w:rPr>
          <w:rFonts w:hint="eastAsia" w:eastAsia="仿宋_GB2312"/>
          <w:color w:val="000000"/>
          <w:kern w:val="0"/>
          <w:sz w:val="32"/>
          <w:szCs w:val="32"/>
          <w:lang w:eastAsia="zh-CN"/>
        </w:rPr>
        <w:t>项</w:t>
      </w:r>
      <w:r>
        <w:rPr>
          <w:rFonts w:hint="eastAsia" w:eastAsia="仿宋_GB2312"/>
          <w:color w:val="000000"/>
          <w:kern w:val="0"/>
          <w:sz w:val="32"/>
          <w:szCs w:val="32"/>
        </w:rPr>
        <w:t>资金</w:t>
      </w:r>
      <w:r>
        <w:rPr>
          <w:rFonts w:hint="eastAsia" w:eastAsia="仿宋_GB2312"/>
          <w:color w:val="auto"/>
          <w:kern w:val="0"/>
          <w:sz w:val="32"/>
          <w:szCs w:val="32"/>
          <w:lang w:val="en-US" w:eastAsia="zh-CN"/>
        </w:rPr>
        <w:t>916.76</w:t>
      </w:r>
      <w:r>
        <w:rPr>
          <w:rFonts w:hint="eastAsia" w:eastAsia="仿宋_GB2312"/>
          <w:color w:val="000000"/>
          <w:kern w:val="0"/>
          <w:sz w:val="32"/>
          <w:szCs w:val="32"/>
        </w:rPr>
        <w:t>万元。</w:t>
      </w:r>
    </w:p>
    <w:p>
      <w:pPr>
        <w:numPr>
          <w:ilvl w:val="0"/>
          <w:numId w:val="1"/>
        </w:numPr>
        <w:spacing w:line="620" w:lineRule="exact"/>
        <w:ind w:firstLine="640" w:firstLineChars="200"/>
        <w:rPr>
          <w:rFonts w:hint="eastAsia" w:eastAsia="仿宋_GB2312"/>
          <w:color w:val="000000"/>
          <w:kern w:val="0"/>
          <w:sz w:val="32"/>
          <w:szCs w:val="32"/>
        </w:rPr>
      </w:pPr>
      <w:r>
        <w:rPr>
          <w:rFonts w:hint="eastAsia" w:eastAsia="仿宋_GB2312"/>
          <w:color w:val="000000"/>
          <w:kern w:val="0"/>
          <w:sz w:val="32"/>
          <w:szCs w:val="32"/>
        </w:rPr>
        <w:t>项目资金（主要是指财政资金）实际使用情况分析。</w:t>
      </w:r>
    </w:p>
    <w:p>
      <w:pPr>
        <w:numPr>
          <w:ilvl w:val="0"/>
          <w:numId w:val="0"/>
        </w:numPr>
        <w:spacing w:line="620" w:lineRule="exact"/>
        <w:ind w:firstLine="640" w:firstLineChars="200"/>
        <w:rPr>
          <w:rFonts w:hint="eastAsia" w:eastAsia="仿宋_GB2312"/>
          <w:color w:val="000000"/>
          <w:kern w:val="0"/>
          <w:sz w:val="32"/>
          <w:szCs w:val="32"/>
          <w:lang w:val="en-US" w:eastAsia="zh-CN"/>
        </w:rPr>
      </w:pPr>
      <w:r>
        <w:rPr>
          <w:rFonts w:hint="eastAsia" w:eastAsia="仿宋_GB2312"/>
          <w:color w:val="000000"/>
          <w:kern w:val="0"/>
          <w:sz w:val="32"/>
          <w:szCs w:val="32"/>
          <w:lang w:val="en-US" w:eastAsia="zh-CN"/>
        </w:rPr>
        <w:t>1.一般公共服务支出</w:t>
      </w:r>
      <w:r>
        <w:rPr>
          <w:rFonts w:hint="eastAsia" w:eastAsia="仿宋_GB2312"/>
          <w:color w:val="000000"/>
          <w:kern w:val="0"/>
          <w:sz w:val="32"/>
          <w:szCs w:val="32"/>
        </w:rPr>
        <w:t>（类）党委办公厅（室）及相关机构事务（款）其他党委办公厅（室）及相关机构事务支出（项）支出为</w:t>
      </w:r>
      <w:r>
        <w:rPr>
          <w:rFonts w:hint="eastAsia" w:eastAsia="仿宋_GB2312"/>
          <w:color w:val="000000"/>
          <w:kern w:val="0"/>
          <w:sz w:val="32"/>
          <w:szCs w:val="32"/>
          <w:lang w:val="en-US" w:eastAsia="zh-CN"/>
        </w:rPr>
        <w:t>4.8万元。</w:t>
      </w:r>
    </w:p>
    <w:p>
      <w:pPr>
        <w:numPr>
          <w:ilvl w:val="0"/>
          <w:numId w:val="0"/>
        </w:numPr>
        <w:spacing w:line="620" w:lineRule="exact"/>
        <w:ind w:firstLine="640" w:firstLineChars="200"/>
        <w:rPr>
          <w:rFonts w:hint="eastAsia" w:eastAsia="仿宋_GB2312"/>
          <w:color w:val="000000"/>
          <w:kern w:val="0"/>
          <w:sz w:val="32"/>
          <w:szCs w:val="32"/>
        </w:rPr>
      </w:pPr>
      <w:r>
        <w:rPr>
          <w:rFonts w:hint="eastAsia" w:eastAsia="仿宋_GB2312"/>
          <w:color w:val="000000"/>
          <w:kern w:val="0"/>
          <w:sz w:val="32"/>
          <w:szCs w:val="32"/>
          <w:lang w:val="en-US" w:eastAsia="zh-CN"/>
        </w:rPr>
        <w:t>2</w:t>
      </w:r>
      <w:r>
        <w:rPr>
          <w:rFonts w:hint="eastAsia" w:eastAsia="仿宋_GB2312"/>
          <w:color w:val="000000"/>
          <w:kern w:val="0"/>
          <w:sz w:val="32"/>
          <w:szCs w:val="32"/>
        </w:rPr>
        <w:t>. 公共安全支出（类）司法（款）一般行政管理事务（项）支出为3</w:t>
      </w:r>
      <w:r>
        <w:rPr>
          <w:rFonts w:hint="eastAsia" w:eastAsia="仿宋_GB2312"/>
          <w:color w:val="000000"/>
          <w:kern w:val="0"/>
          <w:sz w:val="32"/>
          <w:szCs w:val="32"/>
          <w:lang w:val="en-US" w:eastAsia="zh-CN"/>
        </w:rPr>
        <w:t>2</w:t>
      </w:r>
      <w:r>
        <w:rPr>
          <w:rFonts w:hint="eastAsia" w:eastAsia="仿宋_GB2312"/>
          <w:color w:val="000000"/>
          <w:kern w:val="0"/>
          <w:sz w:val="32"/>
          <w:szCs w:val="32"/>
        </w:rPr>
        <w:t>5.52万元。</w:t>
      </w:r>
      <w:bookmarkStart w:id="0" w:name="_GoBack"/>
      <w:bookmarkEnd w:id="0"/>
    </w:p>
    <w:p>
      <w:pPr>
        <w:numPr>
          <w:ilvl w:val="0"/>
          <w:numId w:val="0"/>
        </w:numPr>
        <w:spacing w:line="620" w:lineRule="exact"/>
        <w:rPr>
          <w:rFonts w:hint="eastAsia" w:eastAsia="仿宋_GB2312"/>
          <w:color w:val="000000"/>
          <w:kern w:val="0"/>
          <w:sz w:val="32"/>
          <w:szCs w:val="32"/>
        </w:rPr>
      </w:pPr>
      <w:r>
        <w:rPr>
          <w:rFonts w:hint="eastAsia" w:eastAsia="仿宋_GB2312"/>
          <w:color w:val="000000"/>
          <w:kern w:val="0"/>
          <w:sz w:val="32"/>
          <w:szCs w:val="32"/>
        </w:rPr>
        <w:t>　</w:t>
      </w:r>
      <w:r>
        <w:rPr>
          <w:rFonts w:hint="eastAsia" w:eastAsia="仿宋_GB2312"/>
          <w:color w:val="000000"/>
          <w:kern w:val="0"/>
          <w:sz w:val="32"/>
          <w:szCs w:val="32"/>
          <w:lang w:val="en-US" w:eastAsia="zh-CN"/>
        </w:rPr>
        <w:t xml:space="preserve">  3</w:t>
      </w:r>
      <w:r>
        <w:rPr>
          <w:rFonts w:hint="eastAsia" w:eastAsia="仿宋_GB2312"/>
          <w:color w:val="000000"/>
          <w:kern w:val="0"/>
          <w:sz w:val="32"/>
          <w:szCs w:val="32"/>
        </w:rPr>
        <w:t>. 公共安全支出（类）司法（款）基层司法业务（项）支出为28.69万元。此项为购买服务人员工资等。</w:t>
      </w:r>
    </w:p>
    <w:p>
      <w:pPr>
        <w:numPr>
          <w:ilvl w:val="0"/>
          <w:numId w:val="0"/>
        </w:numPr>
        <w:spacing w:line="620" w:lineRule="exact"/>
        <w:ind w:firstLine="640" w:firstLineChars="200"/>
        <w:rPr>
          <w:rFonts w:hint="eastAsia" w:eastAsia="仿宋_GB2312"/>
          <w:color w:val="000000"/>
          <w:kern w:val="0"/>
          <w:sz w:val="32"/>
          <w:szCs w:val="32"/>
        </w:rPr>
      </w:pPr>
      <w:r>
        <w:rPr>
          <w:rFonts w:hint="eastAsia" w:eastAsia="仿宋_GB2312"/>
          <w:color w:val="000000"/>
          <w:kern w:val="0"/>
          <w:sz w:val="32"/>
          <w:szCs w:val="32"/>
          <w:lang w:val="en-US" w:eastAsia="zh-CN"/>
        </w:rPr>
        <w:t>4</w:t>
      </w:r>
      <w:r>
        <w:rPr>
          <w:rFonts w:hint="eastAsia" w:eastAsia="仿宋_GB2312"/>
          <w:color w:val="000000"/>
          <w:kern w:val="0"/>
          <w:sz w:val="32"/>
          <w:szCs w:val="32"/>
        </w:rPr>
        <w:t>. 公共安全支出（类）其他公共安全支出（款）其他公共安全支出（项）支出为437万元此项为业务用房建设经费。</w:t>
      </w:r>
    </w:p>
    <w:p>
      <w:pPr>
        <w:numPr>
          <w:ilvl w:val="0"/>
          <w:numId w:val="0"/>
        </w:numPr>
        <w:spacing w:line="620" w:lineRule="exact"/>
        <w:ind w:firstLine="640" w:firstLineChars="200"/>
        <w:rPr>
          <w:rFonts w:hint="eastAsia" w:eastAsia="仿宋_GB2312"/>
          <w:color w:val="000000"/>
          <w:kern w:val="0"/>
          <w:sz w:val="32"/>
          <w:szCs w:val="32"/>
        </w:rPr>
      </w:pPr>
      <w:r>
        <w:rPr>
          <w:rFonts w:hint="eastAsia" w:eastAsia="仿宋_GB2312"/>
          <w:color w:val="000000"/>
          <w:kern w:val="0"/>
          <w:sz w:val="32"/>
          <w:szCs w:val="32"/>
          <w:lang w:val="en-US" w:eastAsia="zh-CN"/>
        </w:rPr>
        <w:t>5</w:t>
      </w:r>
      <w:r>
        <w:rPr>
          <w:rFonts w:hint="eastAsia" w:eastAsia="仿宋_GB2312"/>
          <w:color w:val="000000"/>
          <w:kern w:val="0"/>
          <w:sz w:val="32"/>
          <w:szCs w:val="32"/>
        </w:rPr>
        <w:t>. 公共安全支出（类）司法（款）社区矫正（项）支出为110万元。</w:t>
      </w:r>
    </w:p>
    <w:p>
      <w:pPr>
        <w:numPr>
          <w:ilvl w:val="0"/>
          <w:numId w:val="0"/>
        </w:numPr>
        <w:spacing w:line="620" w:lineRule="exact"/>
        <w:ind w:firstLine="640" w:firstLineChars="200"/>
        <w:rPr>
          <w:rFonts w:hint="eastAsia" w:eastAsia="仿宋_GB2312"/>
          <w:color w:val="000000"/>
          <w:kern w:val="0"/>
          <w:sz w:val="32"/>
          <w:szCs w:val="32"/>
          <w:lang w:val="en-US" w:eastAsia="zh-CN"/>
        </w:rPr>
      </w:pPr>
      <w:r>
        <w:rPr>
          <w:rFonts w:hint="eastAsia" w:eastAsia="仿宋_GB2312"/>
          <w:color w:val="000000"/>
          <w:kern w:val="0"/>
          <w:sz w:val="32"/>
          <w:szCs w:val="32"/>
          <w:lang w:val="en-US" w:eastAsia="zh-CN"/>
        </w:rPr>
        <w:t>6.</w:t>
      </w:r>
      <w:r>
        <w:rPr>
          <w:rFonts w:hint="eastAsia" w:eastAsia="仿宋_GB2312"/>
          <w:color w:val="000000"/>
          <w:kern w:val="0"/>
          <w:sz w:val="32"/>
          <w:szCs w:val="32"/>
        </w:rPr>
        <w:t>公共安全支出（类）司法（款）</w:t>
      </w:r>
      <w:r>
        <w:rPr>
          <w:rFonts w:hint="eastAsia" w:eastAsia="仿宋_GB2312"/>
          <w:color w:val="000000"/>
          <w:kern w:val="0"/>
          <w:sz w:val="32"/>
          <w:szCs w:val="32"/>
          <w:lang w:eastAsia="zh-CN"/>
        </w:rPr>
        <w:t>其他司法支出</w:t>
      </w:r>
      <w:r>
        <w:rPr>
          <w:rFonts w:hint="eastAsia" w:eastAsia="仿宋_GB2312"/>
          <w:color w:val="000000"/>
          <w:kern w:val="0"/>
          <w:sz w:val="32"/>
          <w:szCs w:val="32"/>
        </w:rPr>
        <w:t>（项）支出为</w:t>
      </w:r>
      <w:r>
        <w:rPr>
          <w:rFonts w:hint="eastAsia" w:eastAsia="仿宋_GB2312"/>
          <w:color w:val="000000"/>
          <w:kern w:val="0"/>
          <w:sz w:val="32"/>
          <w:szCs w:val="32"/>
          <w:lang w:val="en-US" w:eastAsia="zh-CN"/>
        </w:rPr>
        <w:t>0.75</w:t>
      </w:r>
      <w:r>
        <w:rPr>
          <w:rFonts w:hint="eastAsia" w:eastAsia="仿宋_GB2312"/>
          <w:color w:val="000000"/>
          <w:kern w:val="0"/>
          <w:sz w:val="32"/>
          <w:szCs w:val="32"/>
        </w:rPr>
        <w:t>万元。</w:t>
      </w:r>
    </w:p>
    <w:p>
      <w:pPr>
        <w:spacing w:line="620" w:lineRule="exact"/>
        <w:ind w:firstLine="640" w:firstLineChars="200"/>
        <w:rPr>
          <w:rFonts w:hint="eastAsia" w:eastAsia="仿宋_GB2312"/>
          <w:color w:val="FF0000"/>
          <w:kern w:val="0"/>
          <w:sz w:val="32"/>
          <w:szCs w:val="32"/>
        </w:rPr>
      </w:pPr>
      <w:r>
        <w:rPr>
          <w:rFonts w:hint="eastAsia" w:eastAsia="仿宋_GB2312"/>
          <w:color w:val="auto"/>
          <w:kern w:val="0"/>
          <w:sz w:val="32"/>
          <w:szCs w:val="32"/>
        </w:rPr>
        <w:t>（三）项目资金管理情况</w:t>
      </w:r>
    </w:p>
    <w:p>
      <w:pPr>
        <w:spacing w:line="620" w:lineRule="exact"/>
        <w:ind w:firstLine="640" w:firstLineChars="200"/>
        <w:rPr>
          <w:rFonts w:hint="eastAsia" w:eastAsia="仿宋_GB2312"/>
          <w:color w:val="auto"/>
          <w:kern w:val="0"/>
          <w:sz w:val="32"/>
          <w:szCs w:val="32"/>
        </w:rPr>
      </w:pPr>
      <w:r>
        <w:rPr>
          <w:rFonts w:hint="eastAsia" w:eastAsia="仿宋_GB2312"/>
          <w:color w:val="auto"/>
          <w:kern w:val="0"/>
          <w:sz w:val="32"/>
          <w:szCs w:val="32"/>
        </w:rPr>
        <w:t>项目资金严格按规范管理使用，每笔资金使用按规范程序报账，按需拨付，管理使用效果好。</w:t>
      </w:r>
    </w:p>
    <w:p>
      <w:pPr>
        <w:spacing w:line="620" w:lineRule="exact"/>
        <w:ind w:firstLine="640" w:firstLineChars="200"/>
        <w:rPr>
          <w:rFonts w:hint="eastAsia" w:ascii="黑体" w:eastAsia="黑体"/>
          <w:color w:val="auto"/>
          <w:kern w:val="0"/>
          <w:sz w:val="32"/>
          <w:szCs w:val="32"/>
        </w:rPr>
      </w:pPr>
      <w:r>
        <w:rPr>
          <w:rFonts w:hint="eastAsia" w:ascii="黑体" w:eastAsia="黑体"/>
          <w:color w:val="auto"/>
          <w:kern w:val="0"/>
          <w:sz w:val="32"/>
          <w:szCs w:val="32"/>
        </w:rPr>
        <w:t>四、项目绩效指标完成情况</w:t>
      </w:r>
    </w:p>
    <w:p>
      <w:pPr>
        <w:spacing w:line="54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（一）产出指标完成情况分析。</w:t>
      </w:r>
    </w:p>
    <w:p>
      <w:pPr>
        <w:spacing w:line="600" w:lineRule="exact"/>
        <w:ind w:firstLine="640" w:firstLineChars="200"/>
        <w:rPr>
          <w:rFonts w:hint="eastAsia" w:eastAsia="仿宋_GB2312"/>
          <w:color w:val="auto"/>
          <w:kern w:val="0"/>
          <w:sz w:val="32"/>
          <w:szCs w:val="32"/>
        </w:rPr>
      </w:pPr>
      <w:r>
        <w:rPr>
          <w:rFonts w:hint="eastAsia" w:ascii="仿宋" w:hAnsi="仿宋" w:eastAsia="仿宋"/>
          <w:sz w:val="32"/>
          <w:szCs w:val="32"/>
        </w:rPr>
        <w:t>今年首先在教育和林业系统推行分行业分部门学法考法试点，全区共有11536名国家工作人员参加年度学法考试。</w:t>
      </w:r>
      <w:r>
        <w:rPr>
          <w:rFonts w:hint="eastAsia" w:eastAsia="仿宋"/>
          <w:sz w:val="32"/>
        </w:rPr>
        <w:t>今年全区参学率达100%，通过率99.65%，学法考法工作任务圆满完成。</w:t>
      </w:r>
    </w:p>
    <w:p>
      <w:pPr>
        <w:numPr>
          <w:ilvl w:val="0"/>
          <w:numId w:val="0"/>
        </w:numPr>
        <w:spacing w:line="540" w:lineRule="exact"/>
        <w:ind w:firstLine="640" w:firstLineChars="200"/>
        <w:rPr>
          <w:rFonts w:hint="eastAsia" w:eastAsia="仿宋_GB2312"/>
          <w:color w:val="auto"/>
          <w:kern w:val="0"/>
          <w:sz w:val="32"/>
          <w:szCs w:val="32"/>
          <w:lang w:eastAsia="zh-CN"/>
        </w:rPr>
      </w:pPr>
      <w:r>
        <w:rPr>
          <w:rFonts w:hint="eastAsia" w:eastAsia="仿宋_GB2312"/>
          <w:color w:val="auto"/>
          <w:kern w:val="0"/>
          <w:sz w:val="32"/>
          <w:szCs w:val="32"/>
        </w:rPr>
        <w:t>我区各级人民调解委员会共排查各项矛盾纠纷717件，预防各类矛盾纠纷534件，调解1349件, 调解率为100%，调解成功1349件，调解成功率为100%</w:t>
      </w:r>
      <w:r>
        <w:rPr>
          <w:rFonts w:hint="eastAsia" w:eastAsia="仿宋_GB2312"/>
          <w:color w:val="auto"/>
          <w:kern w:val="0"/>
          <w:sz w:val="32"/>
          <w:szCs w:val="32"/>
          <w:lang w:eastAsia="zh-CN"/>
        </w:rPr>
        <w:t>。</w:t>
      </w:r>
      <w:r>
        <w:rPr>
          <w:rFonts w:hint="eastAsia" w:eastAsia="仿宋_GB2312"/>
          <w:color w:val="auto"/>
          <w:kern w:val="0"/>
          <w:sz w:val="32"/>
          <w:szCs w:val="32"/>
        </w:rPr>
        <w:t>今年来，我区接受有关机关委托开展适用社区矫正调查评估98例，共累计接收社区服刑人员2030人，共解除矫正1630人，现在册400人，按矫正类别分类：管制13人，缓刑374人，假释6人，暂予监外执行7人。无脱管、漏管和重新犯罪现象</w:t>
      </w:r>
      <w:r>
        <w:rPr>
          <w:rFonts w:hint="eastAsia" w:eastAsia="仿宋_GB2312"/>
          <w:color w:val="auto"/>
          <w:kern w:val="0"/>
          <w:sz w:val="32"/>
          <w:szCs w:val="32"/>
          <w:lang w:eastAsia="zh-CN"/>
        </w:rPr>
        <w:t>。</w:t>
      </w:r>
    </w:p>
    <w:p>
      <w:pPr>
        <w:numPr>
          <w:ilvl w:val="0"/>
          <w:numId w:val="0"/>
        </w:numPr>
        <w:spacing w:line="54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lang w:eastAsia="zh-CN"/>
        </w:rPr>
        <w:t>（二）</w:t>
      </w:r>
      <w:r>
        <w:rPr>
          <w:rFonts w:hint="eastAsia" w:ascii="仿宋_GB2312" w:eastAsia="仿宋_GB2312"/>
          <w:color w:val="auto"/>
          <w:sz w:val="32"/>
          <w:szCs w:val="32"/>
        </w:rPr>
        <w:t>效益指标完成情况分析</w:t>
      </w:r>
    </w:p>
    <w:p>
      <w:pPr>
        <w:spacing w:line="520" w:lineRule="exact"/>
        <w:ind w:firstLine="640" w:firstLineChars="200"/>
        <w:rPr>
          <w:rFonts w:hint="eastAsia" w:ascii="仿宋_GB2312" w:eastAsia="仿宋_GB2312"/>
          <w:color w:val="FF0000"/>
          <w:sz w:val="32"/>
          <w:szCs w:val="32"/>
          <w:lang w:val="en-US" w:eastAsia="zh-CN"/>
        </w:rPr>
      </w:pPr>
      <w:r>
        <w:rPr>
          <w:rFonts w:hint="eastAsia" w:eastAsia="仿宋_GB2312"/>
          <w:color w:val="auto"/>
          <w:kern w:val="0"/>
          <w:sz w:val="32"/>
          <w:szCs w:val="32"/>
        </w:rPr>
        <w:t>今年“三公”经费支出107369元，其中公务用车购置及运行维护费55300元，比去年减少4300元，减少原因为我局加强了公务用车管理。公务接待费52069元，比去年减少了5731元，减少原因为我局因厉行节约，减少了公务接待。</w:t>
      </w:r>
    </w:p>
    <w:p>
      <w:pPr>
        <w:numPr>
          <w:ilvl w:val="0"/>
          <w:numId w:val="0"/>
        </w:numPr>
        <w:spacing w:line="540" w:lineRule="exact"/>
        <w:ind w:firstLine="640" w:firstLineChars="200"/>
        <w:rPr>
          <w:rFonts w:hint="eastAsia" w:eastAsia="仿宋_GB2312"/>
          <w:color w:val="auto"/>
          <w:kern w:val="0"/>
          <w:sz w:val="32"/>
          <w:szCs w:val="32"/>
        </w:rPr>
      </w:pPr>
      <w:r>
        <w:rPr>
          <w:rFonts w:hint="eastAsia" w:ascii="仿宋_GB2312" w:eastAsia="仿宋_GB2312"/>
          <w:color w:val="auto"/>
          <w:sz w:val="32"/>
          <w:szCs w:val="32"/>
          <w:lang w:eastAsia="zh-CN"/>
        </w:rPr>
        <w:t>（三）</w:t>
      </w:r>
      <w:r>
        <w:rPr>
          <w:rFonts w:hint="eastAsia" w:ascii="仿宋_GB2312" w:eastAsia="仿宋_GB2312"/>
          <w:color w:val="auto"/>
          <w:sz w:val="32"/>
          <w:szCs w:val="32"/>
        </w:rPr>
        <w:t>满意度指标完成情况分析</w:t>
      </w:r>
    </w:p>
    <w:p>
      <w:pPr>
        <w:numPr>
          <w:ilvl w:val="0"/>
          <w:numId w:val="0"/>
        </w:numPr>
        <w:spacing w:line="540" w:lineRule="exact"/>
        <w:ind w:firstLine="640" w:firstLineChars="200"/>
        <w:rPr>
          <w:rFonts w:hint="eastAsia" w:eastAsia="仿宋_GB2312"/>
          <w:color w:val="auto"/>
          <w:kern w:val="0"/>
          <w:sz w:val="32"/>
          <w:szCs w:val="32"/>
        </w:rPr>
      </w:pPr>
      <w:r>
        <w:rPr>
          <w:rFonts w:hint="eastAsia" w:eastAsia="仿宋_GB2312"/>
          <w:color w:val="auto"/>
          <w:kern w:val="0"/>
          <w:sz w:val="32"/>
          <w:szCs w:val="32"/>
        </w:rPr>
        <w:t>全区</w:t>
      </w:r>
      <w:r>
        <w:rPr>
          <w:rFonts w:hint="eastAsia" w:eastAsia="仿宋_GB2312"/>
          <w:color w:val="auto"/>
          <w:kern w:val="0"/>
          <w:sz w:val="32"/>
          <w:szCs w:val="32"/>
          <w:lang w:eastAsia="zh-CN"/>
        </w:rPr>
        <w:t>全年</w:t>
      </w:r>
      <w:r>
        <w:rPr>
          <w:rFonts w:hint="eastAsia" w:eastAsia="仿宋_GB2312"/>
          <w:color w:val="auto"/>
          <w:kern w:val="0"/>
          <w:sz w:val="32"/>
          <w:szCs w:val="32"/>
        </w:rPr>
        <w:t>共建立23个公共法律服务站，在203个行政村、社区建了203个公共法律服务点，每个工作站、点都委派了1-2名驻点律师。组建了296名公共法律志愿者队伍，壮大公共法律人员的队伍。今年来办理法律援助案件 220件，其中民事案件146件、刑事案件74件。另外还代写法律文书27件，出具法律援助意6份，法律咨询412件。</w:t>
      </w:r>
    </w:p>
    <w:p>
      <w:pPr>
        <w:numPr>
          <w:ilvl w:val="0"/>
          <w:numId w:val="0"/>
        </w:numPr>
        <w:spacing w:line="540" w:lineRule="exact"/>
        <w:ind w:firstLine="640" w:firstLineChars="200"/>
        <w:rPr>
          <w:rFonts w:hint="eastAsia" w:eastAsia="仿宋_GB2312"/>
          <w:color w:val="auto"/>
          <w:kern w:val="0"/>
          <w:sz w:val="32"/>
          <w:szCs w:val="32"/>
        </w:rPr>
      </w:pPr>
      <w:r>
        <w:rPr>
          <w:rFonts w:hint="eastAsia" w:eastAsia="仿宋_GB2312"/>
          <w:color w:val="auto"/>
          <w:kern w:val="0"/>
          <w:sz w:val="32"/>
          <w:szCs w:val="32"/>
        </w:rPr>
        <w:t>2018年我局各项工作完成情况良好，司法行政职能作用进一步发挥，群众的法律水平和法治意识得到进一步的增强，弱势群体的权益得到了有效维护，基层矛盾纠纷得到了有效化解，为全区经济、社会和谐发展提供了优质高效的法律服务和法律保障，服务对象满意度评价较高，我局获全市司法行政工作先进单位。</w:t>
      </w:r>
    </w:p>
    <w:p>
      <w:pPr>
        <w:numPr>
          <w:ilvl w:val="0"/>
          <w:numId w:val="2"/>
        </w:numPr>
        <w:spacing w:line="540" w:lineRule="exact"/>
        <w:ind w:firstLine="640" w:firstLineChars="200"/>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绩效目标未完成原因和下一步改进措施</w:t>
      </w:r>
    </w:p>
    <w:p>
      <w:pPr>
        <w:numPr>
          <w:ilvl w:val="0"/>
          <w:numId w:val="0"/>
        </w:numPr>
        <w:spacing w:line="540" w:lineRule="exact"/>
        <w:ind w:firstLine="640" w:firstLineChars="200"/>
        <w:rPr>
          <w:rFonts w:hint="eastAsia" w:eastAsia="仿宋_GB2312"/>
          <w:b w:val="0"/>
          <w:bCs w:val="0"/>
          <w:color w:val="auto"/>
          <w:kern w:val="0"/>
          <w:sz w:val="32"/>
          <w:szCs w:val="32"/>
        </w:rPr>
      </w:pPr>
      <w:r>
        <w:rPr>
          <w:rFonts w:hint="eastAsia" w:eastAsia="仿宋_GB2312"/>
          <w:b w:val="0"/>
          <w:bCs w:val="0"/>
          <w:color w:val="auto"/>
          <w:kern w:val="0"/>
          <w:sz w:val="32"/>
          <w:szCs w:val="32"/>
        </w:rPr>
        <w:t>绩效目标未完成主要原因为我单位201</w:t>
      </w:r>
      <w:r>
        <w:rPr>
          <w:rFonts w:hint="eastAsia" w:eastAsia="仿宋_GB2312"/>
          <w:b w:val="0"/>
          <w:bCs w:val="0"/>
          <w:color w:val="auto"/>
          <w:kern w:val="0"/>
          <w:sz w:val="32"/>
          <w:szCs w:val="32"/>
          <w:lang w:val="en-US" w:eastAsia="zh-CN"/>
        </w:rPr>
        <w:t>8</w:t>
      </w:r>
      <w:r>
        <w:rPr>
          <w:rFonts w:hint="eastAsia" w:eastAsia="仿宋_GB2312"/>
          <w:b w:val="0"/>
          <w:bCs w:val="0"/>
          <w:color w:val="auto"/>
          <w:kern w:val="0"/>
          <w:sz w:val="32"/>
          <w:szCs w:val="32"/>
        </w:rPr>
        <w:t>年工作重点为社区矫正信息化建设和法律服务工作站建设及法律服务平台建设工作，鉴于我单位工作环境限制，信息化建设及法律服务建设工作推后发展，故规划结余部分资金用以支撑建设工作。我单位在积极规划，已确定需要的专业设备，争取尽早完成社区矫正信息化建设及法律服务工作站和平台建设工作。</w:t>
      </w:r>
    </w:p>
    <w:p>
      <w:pPr>
        <w:numPr>
          <w:ilvl w:val="0"/>
          <w:numId w:val="2"/>
        </w:numPr>
        <w:spacing w:line="540" w:lineRule="exact"/>
        <w:ind w:left="0" w:leftChars="0" w:firstLine="640" w:firstLineChars="200"/>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绩效自评得分等级结果及拟应用和公开情况</w:t>
      </w:r>
    </w:p>
    <w:p>
      <w:pPr>
        <w:numPr>
          <w:ilvl w:val="0"/>
          <w:numId w:val="0"/>
        </w:numPr>
        <w:spacing w:line="540" w:lineRule="exact"/>
        <w:ind w:firstLine="640" w:firstLineChars="200"/>
        <w:rPr>
          <w:rFonts w:hint="eastAsia" w:eastAsia="仿宋_GB2312"/>
          <w:b w:val="0"/>
          <w:bCs w:val="0"/>
          <w:color w:val="auto"/>
          <w:kern w:val="0"/>
          <w:sz w:val="32"/>
          <w:szCs w:val="32"/>
        </w:rPr>
      </w:pPr>
      <w:r>
        <w:rPr>
          <w:rFonts w:hint="eastAsia" w:eastAsia="仿宋_GB2312"/>
          <w:b w:val="0"/>
          <w:bCs w:val="0"/>
          <w:color w:val="auto"/>
          <w:kern w:val="0"/>
          <w:sz w:val="32"/>
          <w:szCs w:val="32"/>
        </w:rPr>
        <w:t>司法局201</w:t>
      </w:r>
      <w:r>
        <w:rPr>
          <w:rFonts w:hint="eastAsia" w:eastAsia="仿宋_GB2312"/>
          <w:b w:val="0"/>
          <w:bCs w:val="0"/>
          <w:color w:val="auto"/>
          <w:kern w:val="0"/>
          <w:sz w:val="32"/>
          <w:szCs w:val="32"/>
          <w:lang w:val="en-US" w:eastAsia="zh-CN"/>
        </w:rPr>
        <w:t>8</w:t>
      </w:r>
      <w:r>
        <w:rPr>
          <w:rFonts w:hint="eastAsia" w:eastAsia="仿宋_GB2312"/>
          <w:b w:val="0"/>
          <w:bCs w:val="0"/>
          <w:color w:val="auto"/>
          <w:kern w:val="0"/>
          <w:sz w:val="32"/>
          <w:szCs w:val="32"/>
        </w:rPr>
        <w:t>年绩效自评，</w:t>
      </w:r>
      <w:r>
        <w:rPr>
          <w:rFonts w:hint="eastAsia" w:eastAsia="仿宋_GB2312"/>
          <w:b w:val="0"/>
          <w:bCs w:val="0"/>
          <w:color w:val="auto"/>
          <w:kern w:val="0"/>
          <w:sz w:val="32"/>
          <w:szCs w:val="32"/>
          <w:lang w:eastAsia="zh-CN"/>
        </w:rPr>
        <w:t>各项指标</w:t>
      </w:r>
      <w:r>
        <w:rPr>
          <w:rFonts w:hint="eastAsia" w:eastAsia="仿宋_GB2312"/>
          <w:b w:val="0"/>
          <w:bCs w:val="0"/>
          <w:color w:val="auto"/>
          <w:kern w:val="0"/>
          <w:sz w:val="32"/>
          <w:szCs w:val="32"/>
        </w:rPr>
        <w:t>达</w:t>
      </w:r>
      <w:r>
        <w:rPr>
          <w:rFonts w:hint="eastAsia" w:eastAsia="仿宋_GB2312"/>
          <w:b w:val="0"/>
          <w:bCs w:val="0"/>
          <w:color w:val="auto"/>
          <w:kern w:val="0"/>
          <w:sz w:val="32"/>
          <w:szCs w:val="32"/>
          <w:lang w:eastAsia="zh-CN"/>
        </w:rPr>
        <w:t>到</w:t>
      </w:r>
      <w:r>
        <w:rPr>
          <w:rFonts w:hint="eastAsia" w:eastAsia="仿宋_GB2312"/>
          <w:b w:val="0"/>
          <w:bCs w:val="0"/>
          <w:color w:val="auto"/>
          <w:kern w:val="0"/>
          <w:sz w:val="32"/>
          <w:szCs w:val="32"/>
        </w:rPr>
        <w:t>预期</w:t>
      </w:r>
      <w:r>
        <w:rPr>
          <w:rFonts w:hint="eastAsia" w:eastAsia="仿宋_GB2312"/>
          <w:b w:val="0"/>
          <w:bCs w:val="0"/>
          <w:color w:val="auto"/>
          <w:kern w:val="0"/>
          <w:sz w:val="32"/>
          <w:szCs w:val="32"/>
          <w:lang w:eastAsia="zh-CN"/>
        </w:rPr>
        <w:t>目标</w:t>
      </w:r>
      <w:r>
        <w:rPr>
          <w:rFonts w:hint="eastAsia" w:eastAsia="仿宋_GB2312"/>
          <w:b w:val="0"/>
          <w:bCs w:val="0"/>
          <w:color w:val="auto"/>
          <w:kern w:val="0"/>
          <w:sz w:val="32"/>
          <w:szCs w:val="32"/>
        </w:rPr>
        <w:t>并取得了一定的成效，绩效自评得分等级</w:t>
      </w:r>
      <w:r>
        <w:rPr>
          <w:rFonts w:hint="eastAsia" w:eastAsia="仿宋_GB2312"/>
          <w:b w:val="0"/>
          <w:bCs w:val="0"/>
          <w:color w:val="auto"/>
          <w:kern w:val="0"/>
          <w:sz w:val="32"/>
          <w:szCs w:val="32"/>
          <w:lang w:eastAsia="zh-CN"/>
        </w:rPr>
        <w:t>为优</w:t>
      </w:r>
      <w:r>
        <w:rPr>
          <w:rFonts w:hint="eastAsia" w:eastAsia="仿宋_GB2312"/>
          <w:b w:val="0"/>
          <w:bCs w:val="0"/>
          <w:color w:val="auto"/>
          <w:kern w:val="0"/>
          <w:sz w:val="32"/>
          <w:szCs w:val="32"/>
        </w:rPr>
        <w:t>。自评结束，将按照财政局规定进行公开。</w:t>
      </w:r>
    </w:p>
    <w:p>
      <w:pPr>
        <w:numPr>
          <w:ilvl w:val="0"/>
          <w:numId w:val="2"/>
        </w:numPr>
        <w:spacing w:line="620" w:lineRule="exact"/>
        <w:ind w:left="0" w:leftChars="0" w:firstLine="640" w:firstLineChars="200"/>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绩效自评工作的经验、问题和建议。</w:t>
      </w:r>
    </w:p>
    <w:p>
      <w:pPr>
        <w:numPr>
          <w:ilvl w:val="0"/>
          <w:numId w:val="0"/>
        </w:numPr>
        <w:spacing w:line="540" w:lineRule="exact"/>
        <w:ind w:firstLine="640" w:firstLineChars="200"/>
        <w:rPr>
          <w:rFonts w:hint="eastAsia" w:eastAsia="仿宋_GB2312"/>
          <w:color w:val="auto"/>
          <w:kern w:val="0"/>
          <w:sz w:val="32"/>
          <w:szCs w:val="32"/>
        </w:rPr>
      </w:pPr>
      <w:r>
        <w:rPr>
          <w:rFonts w:hint="eastAsia" w:eastAsia="仿宋_GB2312"/>
          <w:color w:val="auto"/>
          <w:kern w:val="0"/>
          <w:sz w:val="32"/>
          <w:szCs w:val="32"/>
        </w:rPr>
        <w:t>（一）经验：开展项目绩效评价是推进项目绩效管理的重要举措，增强项目管理和执行刚性。</w:t>
      </w:r>
    </w:p>
    <w:p>
      <w:pPr>
        <w:numPr>
          <w:ilvl w:val="0"/>
          <w:numId w:val="0"/>
        </w:numPr>
        <w:spacing w:line="540" w:lineRule="exact"/>
        <w:ind w:firstLine="640" w:firstLineChars="200"/>
        <w:rPr>
          <w:rFonts w:hint="eastAsia" w:eastAsia="仿宋_GB2312"/>
          <w:color w:val="auto"/>
          <w:kern w:val="0"/>
          <w:sz w:val="32"/>
          <w:szCs w:val="32"/>
        </w:rPr>
      </w:pPr>
      <w:r>
        <w:rPr>
          <w:rFonts w:hint="eastAsia" w:eastAsia="仿宋_GB2312"/>
          <w:color w:val="auto"/>
          <w:kern w:val="0"/>
          <w:sz w:val="32"/>
          <w:szCs w:val="32"/>
        </w:rPr>
        <w:t>（二）问题：绩效评价的评价标准设计有待区别加强。如对如法律援助这样办案具有跨年性的项目，及非项目实施主体原因（即部分办案资料归档不及时、不规范，导致资金支付延迟）所导致的预算执行问题，按照现有指标体系影响项目绩效评价。</w:t>
      </w:r>
    </w:p>
    <w:p>
      <w:pPr>
        <w:numPr>
          <w:ilvl w:val="0"/>
          <w:numId w:val="0"/>
        </w:numPr>
        <w:spacing w:line="540" w:lineRule="exact"/>
        <w:ind w:firstLine="640" w:firstLineChars="200"/>
        <w:rPr>
          <w:rFonts w:hint="eastAsia" w:eastAsia="仿宋_GB2312"/>
          <w:color w:val="auto"/>
          <w:kern w:val="0"/>
          <w:sz w:val="32"/>
          <w:szCs w:val="32"/>
        </w:rPr>
      </w:pPr>
      <w:r>
        <w:rPr>
          <w:rFonts w:hint="eastAsia" w:eastAsia="仿宋_GB2312"/>
          <w:color w:val="auto"/>
          <w:kern w:val="0"/>
          <w:sz w:val="32"/>
          <w:szCs w:val="32"/>
        </w:rPr>
        <w:t>（三）建议：加强项目绩效评价培训工作。</w:t>
      </w:r>
    </w:p>
    <w:p>
      <w:pPr>
        <w:spacing w:line="540" w:lineRule="exact"/>
        <w:ind w:firstLine="643" w:firstLineChars="200"/>
        <w:rPr>
          <w:rFonts w:hint="eastAsia" w:ascii="黑体" w:hAnsi="黑体" w:eastAsia="黑体" w:cs="黑体"/>
          <w:b/>
          <w:bCs/>
          <w:color w:val="auto"/>
          <w:sz w:val="32"/>
          <w:szCs w:val="32"/>
        </w:rPr>
      </w:pPr>
      <w:r>
        <w:rPr>
          <w:rFonts w:hint="eastAsia" w:ascii="黑体" w:hAnsi="黑体" w:eastAsia="黑体" w:cs="黑体"/>
          <w:b/>
          <w:bCs/>
          <w:color w:val="auto"/>
          <w:sz w:val="32"/>
          <w:szCs w:val="32"/>
        </w:rPr>
        <w:t>八、其他需说明的问题。</w:t>
      </w:r>
    </w:p>
    <w:p>
      <w:pPr>
        <w:numPr>
          <w:ilvl w:val="0"/>
          <w:numId w:val="0"/>
        </w:numPr>
        <w:spacing w:line="540" w:lineRule="exact"/>
        <w:rPr>
          <w:rFonts w:hint="eastAsia" w:eastAsia="仿宋_GB2312"/>
          <w:color w:val="auto"/>
          <w:kern w:val="0"/>
          <w:sz w:val="32"/>
          <w:szCs w:val="32"/>
          <w:lang w:eastAsia="zh-CN"/>
        </w:rPr>
      </w:pPr>
      <w:r>
        <w:rPr>
          <w:rFonts w:hint="eastAsia" w:eastAsia="仿宋_GB2312"/>
          <w:color w:val="auto"/>
          <w:kern w:val="0"/>
          <w:sz w:val="32"/>
          <w:szCs w:val="32"/>
        </w:rPr>
        <w:t>　</w:t>
      </w:r>
      <w:r>
        <w:rPr>
          <w:rFonts w:hint="eastAsia" w:eastAsia="仿宋_GB2312"/>
          <w:color w:val="auto"/>
          <w:kern w:val="0"/>
          <w:sz w:val="32"/>
          <w:szCs w:val="32"/>
          <w:lang w:val="en-US" w:eastAsia="zh-CN"/>
        </w:rPr>
        <w:t xml:space="preserve">  </w:t>
      </w:r>
      <w:r>
        <w:rPr>
          <w:rFonts w:hint="eastAsia" w:eastAsia="仿宋_GB2312"/>
          <w:color w:val="auto"/>
          <w:kern w:val="0"/>
          <w:sz w:val="32"/>
          <w:szCs w:val="32"/>
          <w:lang w:eastAsia="zh-CN"/>
        </w:rPr>
        <w:t>无</w:t>
      </w:r>
    </w:p>
    <w:p>
      <w:pPr>
        <w:spacing w:line="560" w:lineRule="exact"/>
        <w:rPr>
          <w:rFonts w:hint="eastAsia"/>
          <w:kern w:val="0"/>
        </w:rPr>
      </w:pPr>
    </w:p>
    <w:p>
      <w:pPr>
        <w:spacing w:line="560" w:lineRule="exact"/>
        <w:rPr>
          <w:rFonts w:hint="eastAsia"/>
          <w:kern w:val="0"/>
        </w:rPr>
      </w:pPr>
    </w:p>
    <w:p>
      <w:pPr>
        <w:spacing w:line="560" w:lineRule="exact"/>
        <w:rPr>
          <w:rFonts w:hint="eastAsia"/>
          <w:kern w:val="0"/>
        </w:rPr>
      </w:pPr>
    </w:p>
    <w:p>
      <w:pPr>
        <w:spacing w:line="560" w:lineRule="exact"/>
        <w:rPr>
          <w:rFonts w:hint="eastAsia"/>
          <w:kern w:val="0"/>
        </w:rPr>
      </w:pPr>
    </w:p>
    <w:p>
      <w:pPr>
        <w:spacing w:line="560" w:lineRule="exact"/>
        <w:rPr>
          <w:rFonts w:hint="eastAsia"/>
          <w:kern w:val="0"/>
        </w:rPr>
      </w:pPr>
    </w:p>
    <w:p>
      <w:pPr>
        <w:spacing w:line="560" w:lineRule="exact"/>
        <w:rPr>
          <w:rFonts w:hint="eastAsia"/>
          <w:kern w:val="0"/>
        </w:rPr>
      </w:pPr>
    </w:p>
    <w:p>
      <w:pPr>
        <w:spacing w:line="560" w:lineRule="exact"/>
        <w:rPr>
          <w:rFonts w:hint="eastAsia"/>
          <w:kern w:val="0"/>
        </w:rPr>
      </w:pPr>
    </w:p>
    <w:p>
      <w:pPr>
        <w:spacing w:line="560" w:lineRule="exact"/>
        <w:rPr>
          <w:rFonts w:hint="eastAsia"/>
          <w:kern w:val="0"/>
        </w:rPr>
      </w:pPr>
    </w:p>
    <w:p>
      <w:pPr>
        <w:spacing w:line="560" w:lineRule="exact"/>
        <w:rPr>
          <w:rFonts w:hint="eastAsia"/>
          <w:kern w:val="0"/>
        </w:rPr>
      </w:pPr>
    </w:p>
    <w:p>
      <w:pPr>
        <w:spacing w:line="560" w:lineRule="exact"/>
        <w:rPr>
          <w:rFonts w:hint="eastAsia"/>
          <w:kern w:val="0"/>
        </w:rPr>
      </w:pPr>
    </w:p>
    <w:p>
      <w:pPr>
        <w:spacing w:line="560" w:lineRule="exact"/>
        <w:rPr>
          <w:rFonts w:hint="eastAsia"/>
          <w:kern w:val="0"/>
        </w:rPr>
      </w:pPr>
    </w:p>
    <w:p>
      <w:pPr>
        <w:spacing w:line="560" w:lineRule="exact"/>
        <w:rPr>
          <w:rFonts w:hint="eastAsia"/>
          <w:kern w:val="0"/>
        </w:rPr>
      </w:pPr>
    </w:p>
    <w:p>
      <w:pPr>
        <w:spacing w:line="560" w:lineRule="exact"/>
        <w:rPr>
          <w:rFonts w:hint="eastAsia"/>
          <w:kern w:val="0"/>
        </w:rPr>
      </w:pPr>
    </w:p>
    <w:p>
      <w:pPr>
        <w:spacing w:line="560" w:lineRule="exact"/>
        <w:rPr>
          <w:rFonts w:hint="eastAsia"/>
          <w:kern w:val="0"/>
        </w:rPr>
      </w:pPr>
    </w:p>
    <w:p>
      <w:pPr>
        <w:spacing w:line="560" w:lineRule="exact"/>
        <w:rPr>
          <w:rFonts w:hint="eastAsia"/>
          <w:kern w:val="0"/>
        </w:rPr>
      </w:pPr>
    </w:p>
    <w:p>
      <w:pPr>
        <w:spacing w:line="560" w:lineRule="exact"/>
        <w:rPr>
          <w:rFonts w:hint="eastAsia"/>
          <w:kern w:val="0"/>
        </w:rPr>
      </w:pPr>
    </w:p>
    <w:p>
      <w:pPr>
        <w:widowControl/>
        <w:spacing w:line="560" w:lineRule="exact"/>
        <w:rPr>
          <w:rFonts w:hint="eastAsia" w:ascii="仿宋_GB2312" w:hAnsi="仿宋_GB2312" w:eastAsia="仿宋_GB2312" w:cs="仿宋_GB2312"/>
          <w:sz w:val="32"/>
          <w:szCs w:val="32"/>
        </w:rPr>
      </w:pPr>
    </w:p>
    <w:p>
      <w:pPr>
        <w:widowControl/>
        <w:spacing w:line="560" w:lineRule="exact"/>
        <w:rPr>
          <w:rFonts w:hint="eastAsia" w:ascii="仿宋_GB2312" w:hAnsi="仿宋_GB2312" w:eastAsia="仿宋_GB2312" w:cs="仿宋_GB2312"/>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简体">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5439CE6"/>
    <w:multiLevelType w:val="singleLevel"/>
    <w:tmpl w:val="A5439CE6"/>
    <w:lvl w:ilvl="0" w:tentative="0">
      <w:start w:val="5"/>
      <w:numFmt w:val="chineseCounting"/>
      <w:suff w:val="nothing"/>
      <w:lvlText w:val="%1、"/>
      <w:lvlJc w:val="left"/>
      <w:rPr>
        <w:rFonts w:hint="eastAsia"/>
      </w:rPr>
    </w:lvl>
  </w:abstractNum>
  <w:abstractNum w:abstractNumId="1">
    <w:nsid w:val="66ACF621"/>
    <w:multiLevelType w:val="singleLevel"/>
    <w:tmpl w:val="66ACF621"/>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B92E97"/>
    <w:rsid w:val="02BF1A92"/>
    <w:rsid w:val="03D94040"/>
    <w:rsid w:val="0429033F"/>
    <w:rsid w:val="059542D2"/>
    <w:rsid w:val="05F51B8F"/>
    <w:rsid w:val="06985523"/>
    <w:rsid w:val="078401E9"/>
    <w:rsid w:val="09DA1ABC"/>
    <w:rsid w:val="0C7902A9"/>
    <w:rsid w:val="0F1B3188"/>
    <w:rsid w:val="0F6E089C"/>
    <w:rsid w:val="0FBF48AC"/>
    <w:rsid w:val="10CC6A5E"/>
    <w:rsid w:val="11CD22DC"/>
    <w:rsid w:val="16AD4ED8"/>
    <w:rsid w:val="177437CE"/>
    <w:rsid w:val="199B54D8"/>
    <w:rsid w:val="1AD152DF"/>
    <w:rsid w:val="1B545440"/>
    <w:rsid w:val="1D4B0F95"/>
    <w:rsid w:val="1E8A4F83"/>
    <w:rsid w:val="1EAB4E1A"/>
    <w:rsid w:val="20EA4626"/>
    <w:rsid w:val="21367DC2"/>
    <w:rsid w:val="21707497"/>
    <w:rsid w:val="234C1A3F"/>
    <w:rsid w:val="23B92E97"/>
    <w:rsid w:val="25E80DA6"/>
    <w:rsid w:val="27551BD7"/>
    <w:rsid w:val="28790E83"/>
    <w:rsid w:val="2A3C613C"/>
    <w:rsid w:val="2D3D1BD1"/>
    <w:rsid w:val="2F193B23"/>
    <w:rsid w:val="2F3705E3"/>
    <w:rsid w:val="30001B98"/>
    <w:rsid w:val="30750417"/>
    <w:rsid w:val="30DE4484"/>
    <w:rsid w:val="326152ED"/>
    <w:rsid w:val="343C42AA"/>
    <w:rsid w:val="396B3E4F"/>
    <w:rsid w:val="3A685A7D"/>
    <w:rsid w:val="3CE728FA"/>
    <w:rsid w:val="3D1A7C1E"/>
    <w:rsid w:val="405271B6"/>
    <w:rsid w:val="40B51084"/>
    <w:rsid w:val="40C23872"/>
    <w:rsid w:val="40C739D5"/>
    <w:rsid w:val="421044BA"/>
    <w:rsid w:val="43245079"/>
    <w:rsid w:val="43DD0107"/>
    <w:rsid w:val="43EB4F38"/>
    <w:rsid w:val="4A2C545A"/>
    <w:rsid w:val="4AAD6259"/>
    <w:rsid w:val="4E63680C"/>
    <w:rsid w:val="4F4A2F42"/>
    <w:rsid w:val="50B65A4C"/>
    <w:rsid w:val="51CB616C"/>
    <w:rsid w:val="5570748A"/>
    <w:rsid w:val="57D92BCA"/>
    <w:rsid w:val="586720DC"/>
    <w:rsid w:val="5BB90A9F"/>
    <w:rsid w:val="5CB2383E"/>
    <w:rsid w:val="5CD731E6"/>
    <w:rsid w:val="5DE7565B"/>
    <w:rsid w:val="5E6D31C7"/>
    <w:rsid w:val="61887473"/>
    <w:rsid w:val="62EE764F"/>
    <w:rsid w:val="66AE7C8F"/>
    <w:rsid w:val="66B3674D"/>
    <w:rsid w:val="673460E9"/>
    <w:rsid w:val="69455954"/>
    <w:rsid w:val="6C692481"/>
    <w:rsid w:val="6E7E06CD"/>
    <w:rsid w:val="707C078B"/>
    <w:rsid w:val="72F53C91"/>
    <w:rsid w:val="73046974"/>
    <w:rsid w:val="74B04438"/>
    <w:rsid w:val="76262EBC"/>
    <w:rsid w:val="76402177"/>
    <w:rsid w:val="7CA32DE1"/>
    <w:rsid w:val="7FD93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33</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2019-02-25T08:00:00Z</dcterms:created>
  <dc:creator>Administrator</dc:creator>
  <cp:lastModifiedBy>Administrator</cp:lastModifiedBy>
  <dcterms:modified xsi:type="dcterms:W3CDTF">2019-03-08T01:06:57Z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