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2018</w:t>
      </w:r>
      <w:r>
        <w:rPr>
          <w:rFonts w:eastAsia="方正小标宋简体"/>
          <w:sz w:val="36"/>
          <w:szCs w:val="36"/>
        </w:rPr>
        <w:t>年度部门整体支出绩效自评报告</w:t>
      </w:r>
    </w:p>
    <w:p>
      <w:pPr>
        <w:ind w:firstLine="420" w:firstLineChars="200"/>
        <w:jc w:val="center"/>
      </w:pPr>
    </w:p>
    <w:p>
      <w:pPr>
        <w:ind w:firstLine="602" w:firstLineChars="20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t>一、部门概况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（一）部门基本情况。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1、贯彻执行国家和省、市、区有关司法行政工作的方针、政策和法律、法规、规章，编制全区司法行政发展规划和年度计划并监督实施。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2、组织实施司法行政方面的法律、法规和规章。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3、指导全区普法依法治理工作；参与社会治安综合治理工作。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4、指导监督全区律师工作和公证工作；负责管理本级工作机构。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5、监督管理全区法律援助工作。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6、指导监督全区基层司法所建设和人民调解、社区矫正、基层法律服务和安置帮教工作。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7、指导、管理、监督全区司法行政系统的计划财务及服装、警车等物资装备工作。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8、负责全区司法行政机关队伍建设和思想政治工作，管理局机关及司法所机构编制、干部人事和劳动工作，按照干部管理权限规定管理司法局干部队伍。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9、指导监督面向社会服务的司法鉴定工作。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10、承办区委、区政府和上级司法行政部门交办的其他事项。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（二）</w:t>
      </w:r>
      <w:r>
        <w:rPr>
          <w:rFonts w:hint="eastAsia" w:ascii="宋体" w:hAnsi="宋体"/>
          <w:color w:val="000000"/>
          <w:sz w:val="30"/>
          <w:szCs w:val="30"/>
        </w:rPr>
        <w:t>2018</w:t>
      </w:r>
      <w:r>
        <w:rPr>
          <w:rFonts w:ascii="宋体" w:hAnsi="宋体"/>
          <w:sz w:val="30"/>
          <w:szCs w:val="30"/>
        </w:rPr>
        <w:t>年的重点工作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1、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普法宣传工作先发力，丰富法治建设载体。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2、强化纠纷调处，促进社会和谐稳定。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3、加强社区矫正工作，积极推进社区矫正中心建设。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4、提高服务质量，开展优质高效的公证和法律援助服务。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5、突出活动重点，扎实开展“两学一做”学习教育活动。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6、多措并举，努力提升司法行政工作的综治民调成绩。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（三）部门整体支出情况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冷水滩区司法局2018年收入总计1860.89万元（含以前年度结转和结余资金 0万元），支出总计1860.89万元（含年末结转和结 余资金 0万元），与2017年相比，收、支总计各增加 578.41万元，增幅45.1 %。主要原因是人员经费和业务用房建设经费增加。</w:t>
      </w:r>
    </w:p>
    <w:p>
      <w:pPr>
        <w:ind w:firstLine="602" w:firstLineChars="20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t>二、部门整体支出管理及使用情况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（一）基本支出情况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冷水滩区司法局2018年</w:t>
      </w:r>
      <w:r>
        <w:rPr>
          <w:rFonts w:hint="eastAsia" w:ascii="宋体" w:hAnsi="宋体"/>
          <w:sz w:val="30"/>
          <w:szCs w:val="30"/>
          <w:lang w:eastAsia="zh-CN"/>
        </w:rPr>
        <w:t>基本支出</w:t>
      </w:r>
      <w:r>
        <w:rPr>
          <w:rFonts w:hint="eastAsia" w:ascii="宋体" w:hAnsi="宋体"/>
          <w:sz w:val="30"/>
          <w:szCs w:val="30"/>
          <w:lang w:val="en-US" w:eastAsia="zh-CN"/>
        </w:rPr>
        <w:t>944.13</w:t>
      </w:r>
      <w:r>
        <w:rPr>
          <w:rFonts w:hint="eastAsia" w:ascii="宋体" w:hAnsi="宋体"/>
          <w:sz w:val="30"/>
          <w:szCs w:val="30"/>
        </w:rPr>
        <w:t>万元（含以前年度结转和结余资金0万元）。与2017年相比，</w:t>
      </w:r>
      <w:r>
        <w:rPr>
          <w:rFonts w:hint="eastAsia" w:ascii="宋体" w:hAnsi="宋体"/>
          <w:sz w:val="30"/>
          <w:szCs w:val="30"/>
          <w:lang w:eastAsia="zh-CN"/>
        </w:rPr>
        <w:t>基本支出</w:t>
      </w:r>
      <w:r>
        <w:rPr>
          <w:rFonts w:hint="eastAsia" w:ascii="宋体" w:hAnsi="宋体"/>
          <w:sz w:val="30"/>
          <w:szCs w:val="30"/>
        </w:rPr>
        <w:t>增加</w:t>
      </w:r>
      <w:r>
        <w:rPr>
          <w:rFonts w:hint="eastAsia" w:ascii="宋体" w:hAnsi="宋体"/>
          <w:sz w:val="30"/>
          <w:szCs w:val="30"/>
          <w:lang w:val="en-US" w:eastAsia="zh-CN"/>
        </w:rPr>
        <w:t>101.21</w:t>
      </w:r>
      <w:r>
        <w:rPr>
          <w:rFonts w:hint="eastAsia" w:ascii="宋体" w:hAnsi="宋体"/>
          <w:sz w:val="30"/>
          <w:szCs w:val="30"/>
        </w:rPr>
        <w:t>万元，增幅</w:t>
      </w:r>
      <w:r>
        <w:rPr>
          <w:rFonts w:hint="eastAsia" w:ascii="宋体" w:hAnsi="宋体"/>
          <w:sz w:val="30"/>
          <w:szCs w:val="30"/>
          <w:lang w:val="en-US" w:eastAsia="zh-CN"/>
        </w:rPr>
        <w:t>12.01</w:t>
      </w:r>
      <w:r>
        <w:rPr>
          <w:rFonts w:hint="eastAsia" w:ascii="宋体" w:hAnsi="宋体"/>
          <w:sz w:val="30"/>
          <w:szCs w:val="30"/>
        </w:rPr>
        <w:t>%。主要原因是人员经费增加。</w:t>
      </w:r>
    </w:p>
    <w:p>
      <w:pPr>
        <w:numPr>
          <w:ilvl w:val="0"/>
          <w:numId w:val="1"/>
        </w:num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项目支出情况</w:t>
      </w:r>
    </w:p>
    <w:p>
      <w:pPr>
        <w:numPr>
          <w:ilvl w:val="0"/>
          <w:numId w:val="0"/>
        </w:numPr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 xml:space="preserve">     冷水滩区司法局2018年项目支出916.76万元（含以前年度结转和结余资金0万元）。与2017年相比，2018年项目支出增加477.19万元，增幅108.56%。主要原因是业务用房建设经费增加。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（三）“三公”经费情况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1．因公出国（境）费用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因公出国（境）费全年支出0万元。</w:t>
      </w:r>
    </w:p>
    <w:p>
      <w:pPr>
        <w:numPr>
          <w:ilvl w:val="0"/>
          <w:numId w:val="2"/>
        </w:num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公务接待费</w:t>
      </w:r>
    </w:p>
    <w:p>
      <w:pPr>
        <w:numPr>
          <w:ilvl w:val="0"/>
          <w:numId w:val="0"/>
        </w:numPr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 xml:space="preserve">    公务接待费支出5.21万元，比2017年决算数减少0.57万元。共接待59个团组，394人次。</w:t>
      </w:r>
    </w:p>
    <w:p>
      <w:pPr>
        <w:numPr>
          <w:ilvl w:val="0"/>
          <w:numId w:val="2"/>
        </w:numPr>
        <w:ind w:left="0" w:leftChars="0"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公务用车购置及运行费</w:t>
      </w:r>
    </w:p>
    <w:p>
      <w:pPr>
        <w:numPr>
          <w:ilvl w:val="0"/>
          <w:numId w:val="0"/>
        </w:numPr>
        <w:ind w:firstLine="600" w:firstLineChars="200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公务用车购置支出为0万元，公务用车运行费支出5.53万元，比2017年决算数减少0.43万元，主要原因是加强公车管理。车辆运行维护费支出主要用于基层司法业务工作，包含燃料费、维修费、过路过桥费、保险费等。</w:t>
      </w:r>
    </w:p>
    <w:p>
      <w:pPr>
        <w:ind w:firstLine="602" w:firstLineChars="200"/>
        <w:rPr>
          <w:rFonts w:ascii="宋体" w:hAnsi="宋体"/>
          <w:b/>
          <w:color w:val="auto"/>
          <w:sz w:val="30"/>
          <w:szCs w:val="30"/>
        </w:rPr>
      </w:pPr>
      <w:r>
        <w:rPr>
          <w:rFonts w:ascii="宋体" w:hAnsi="宋体"/>
          <w:b/>
          <w:color w:val="auto"/>
          <w:sz w:val="30"/>
          <w:szCs w:val="30"/>
        </w:rPr>
        <w:t>三、部门整体支出绩效情况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根据年初工作规划和重点性工作，围绕</w:t>
      </w:r>
      <w:r>
        <w:rPr>
          <w:rFonts w:hint="eastAsia" w:ascii="宋体" w:hAnsi="宋体"/>
          <w:color w:val="auto"/>
          <w:sz w:val="30"/>
          <w:szCs w:val="30"/>
          <w:lang w:eastAsia="zh-CN"/>
        </w:rPr>
        <w:t>区</w:t>
      </w:r>
      <w:r>
        <w:rPr>
          <w:rFonts w:hint="eastAsia" w:ascii="宋体" w:hAnsi="宋体"/>
          <w:color w:val="auto"/>
          <w:sz w:val="30"/>
          <w:szCs w:val="30"/>
        </w:rPr>
        <w:t>委、</w:t>
      </w:r>
      <w:r>
        <w:rPr>
          <w:rFonts w:hint="eastAsia" w:ascii="宋体" w:hAnsi="宋体"/>
          <w:color w:val="auto"/>
          <w:sz w:val="30"/>
          <w:szCs w:val="30"/>
          <w:lang w:eastAsia="zh-CN"/>
        </w:rPr>
        <w:t>区</w:t>
      </w:r>
      <w:r>
        <w:rPr>
          <w:rFonts w:hint="eastAsia" w:ascii="宋体" w:hAnsi="宋体"/>
          <w:color w:val="auto"/>
          <w:sz w:val="30"/>
          <w:szCs w:val="30"/>
        </w:rPr>
        <w:t>政府全面建成小康社会的发展蓝图，积极履职，强化管理，较好的完成了年度工作目标。通过加强预算收支的管理，不断建立健全内部管理制度，理顺内部管理流程，部门整体支出管理情况得到了提升。部门整体支出绩效情况如下：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（一）经济性评价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1、本年预算安排控制较好，“三公”经费预算总额未突破上年。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2、预算执行方面，支出总额控制在预算总额以内；本年转移资金支付，不存在截留或滞留专项资金情况。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（二）行政效能评价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为强化部门整体支出，加强国有资产管理，提高资金使用效益，提升财务管理，建立节约型机关，在强化业务管理、财务管理和厉行节约方面开展了大量工作，行政效能显著。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1、在原有相对健全的财务管理制度基础上，适时地、针对性的进行了相关制度的增补，制度的建立更为完善。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2、重视制度的学习和宣讲工作，并已逐步形成了崇尚厉行节约反对浪费的机关文化。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3、建立了经费支出定期汇报和公示机制，经费支出的公开透明性得到提高。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除按照财政要求对部门预算、“三公”经费进行例行公示外，根据经费支出情况，定期进行经费支出财务统计和分析，并及时向分管领导和绩效评价领导小组进行汇报，对经费支出的管理状况提出建设性的意见；使各项经费管理和监督发挥了较好的作用。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4、严格执行了国库集中支付、公务卡结算制度、政府采购等有关规定，政府采购目录内的货物与服务全部按要求实施了政府采购，确保了支出管理流程、审批手续的完整。</w:t>
      </w:r>
    </w:p>
    <w:p>
      <w:pPr>
        <w:ind w:firstLine="600" w:firstLineChars="200"/>
        <w:rPr>
          <w:rFonts w:hint="eastAsia"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5、加强了会计核算工作。根据新印发的《行政单位会计制度》，进行了全面系统的学习，按照新制度的要求，对财务管理软件进行优化升级，对相关科目的设置进行了补充和调整，提高了财务核算质量。</w:t>
      </w:r>
    </w:p>
    <w:p>
      <w:pPr>
        <w:ind w:firstLine="602" w:firstLineChars="200"/>
        <w:rPr>
          <w:rFonts w:hint="eastAsia" w:ascii="宋体" w:hAnsi="宋体"/>
          <w:b/>
          <w:color w:val="auto"/>
          <w:sz w:val="30"/>
          <w:szCs w:val="30"/>
        </w:rPr>
      </w:pPr>
      <w:r>
        <w:rPr>
          <w:rFonts w:hint="eastAsia" w:ascii="宋体" w:hAnsi="宋体"/>
          <w:b/>
          <w:color w:val="auto"/>
          <w:sz w:val="30"/>
          <w:szCs w:val="30"/>
        </w:rPr>
        <w:t>四、绩效自评得分情况及绩效等级</w:t>
      </w:r>
    </w:p>
    <w:p>
      <w:pPr>
        <w:ind w:firstLine="600" w:firstLineChars="200"/>
        <w:rPr>
          <w:rFonts w:hint="eastAsia" w:ascii="宋体" w:hAnsi="宋体"/>
          <w:b w:val="0"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30"/>
          <w:szCs w:val="30"/>
          <w:lang w:val="en-US" w:eastAsia="zh-CN"/>
        </w:rPr>
        <w:t>2018年度部门整体支出绩效评价得分为94</w:t>
      </w:r>
      <w:bookmarkStart w:id="0" w:name="_GoBack"/>
      <w:bookmarkEnd w:id="0"/>
      <w:r>
        <w:rPr>
          <w:rFonts w:hint="eastAsia" w:ascii="宋体" w:hAnsi="宋体"/>
          <w:b w:val="0"/>
          <w:bCs/>
          <w:color w:val="auto"/>
          <w:sz w:val="30"/>
          <w:szCs w:val="30"/>
          <w:lang w:val="en-US" w:eastAsia="zh-CN"/>
        </w:rPr>
        <w:t>分，绩效等级为优。</w:t>
      </w:r>
    </w:p>
    <w:p>
      <w:pPr>
        <w:ind w:firstLine="602" w:firstLineChars="200"/>
        <w:rPr>
          <w:rFonts w:ascii="宋体" w:hAnsi="宋体"/>
          <w:b/>
          <w:color w:val="auto"/>
          <w:sz w:val="30"/>
          <w:szCs w:val="30"/>
        </w:rPr>
      </w:pPr>
      <w:r>
        <w:rPr>
          <w:rFonts w:hint="eastAsia" w:ascii="宋体" w:hAnsi="宋体"/>
          <w:b/>
          <w:color w:val="auto"/>
          <w:sz w:val="30"/>
          <w:szCs w:val="30"/>
        </w:rPr>
        <w:t>五</w:t>
      </w:r>
      <w:r>
        <w:rPr>
          <w:rFonts w:ascii="宋体" w:hAnsi="宋体"/>
          <w:b/>
          <w:color w:val="auto"/>
          <w:sz w:val="30"/>
          <w:szCs w:val="30"/>
        </w:rPr>
        <w:t>、存在的问题</w:t>
      </w:r>
    </w:p>
    <w:p>
      <w:pPr>
        <w:ind w:firstLine="600" w:firstLineChars="200"/>
        <w:rPr>
          <w:rFonts w:ascii="宋体" w:hAnsi="宋体"/>
          <w:b w:val="0"/>
          <w:bCs/>
          <w:color w:val="auto"/>
          <w:sz w:val="30"/>
          <w:szCs w:val="30"/>
        </w:rPr>
      </w:pPr>
      <w:r>
        <w:rPr>
          <w:rFonts w:hint="eastAsia" w:ascii="宋体" w:hAnsi="宋体"/>
          <w:b w:val="0"/>
          <w:bCs/>
          <w:color w:val="auto"/>
          <w:sz w:val="30"/>
          <w:szCs w:val="30"/>
        </w:rPr>
        <w:t>年初预算的编制没有精细，没按照费用支出的使用范围和内容，进行了类、款、项三个层级的明细预算，没进行基本支出、项目支出的严格区分，不便于对其进行精细化的预算管理和分析评价。</w:t>
      </w:r>
    </w:p>
    <w:p>
      <w:pPr>
        <w:numPr>
          <w:ilvl w:val="0"/>
          <w:numId w:val="0"/>
        </w:numPr>
        <w:ind w:firstLine="602" w:firstLineChars="200"/>
        <w:rPr>
          <w:rFonts w:ascii="宋体" w:hAnsi="宋体"/>
          <w:b/>
          <w:color w:val="FF0000"/>
          <w:sz w:val="30"/>
          <w:szCs w:val="30"/>
        </w:rPr>
      </w:pPr>
      <w:r>
        <w:rPr>
          <w:rFonts w:hint="eastAsia" w:ascii="宋体" w:hAnsi="宋体"/>
          <w:b/>
          <w:color w:val="auto"/>
          <w:sz w:val="30"/>
          <w:szCs w:val="30"/>
          <w:lang w:eastAsia="zh-CN"/>
        </w:rPr>
        <w:t>六、</w:t>
      </w:r>
      <w:r>
        <w:rPr>
          <w:rFonts w:ascii="宋体" w:hAnsi="宋体"/>
          <w:b/>
          <w:color w:val="auto"/>
          <w:sz w:val="30"/>
          <w:szCs w:val="30"/>
        </w:rPr>
        <w:t>改进措施和有关建议</w:t>
      </w:r>
    </w:p>
    <w:p>
      <w:pPr>
        <w:numPr>
          <w:ilvl w:val="0"/>
          <w:numId w:val="0"/>
        </w:numPr>
        <w:ind w:firstLine="600" w:firstLineChars="200"/>
        <w:rPr>
          <w:rFonts w:hint="eastAsia" w:ascii="宋体" w:hAnsi="宋体"/>
          <w:b w:val="0"/>
          <w:bCs/>
          <w:color w:val="auto"/>
          <w:sz w:val="30"/>
          <w:szCs w:val="30"/>
        </w:rPr>
      </w:pPr>
      <w:r>
        <w:rPr>
          <w:rFonts w:hint="eastAsia" w:ascii="宋体" w:hAnsi="宋体"/>
          <w:b w:val="0"/>
          <w:bCs/>
          <w:color w:val="auto"/>
          <w:sz w:val="30"/>
          <w:szCs w:val="30"/>
        </w:rPr>
        <w:t>1、细化预算编制工作，认真做好预算的编制。严格按照预算编制的相关制度和要求进行预算的编制；编制范围尽可能的全面、不漏项，进一步提高预算编制的科学性、合理性、严谨性和可控性。</w:t>
      </w:r>
    </w:p>
    <w:p>
      <w:pPr>
        <w:numPr>
          <w:ilvl w:val="0"/>
          <w:numId w:val="0"/>
        </w:numPr>
        <w:ind w:firstLine="600" w:firstLineChars="200"/>
        <w:rPr>
          <w:rFonts w:ascii="宋体" w:hAnsi="宋体"/>
          <w:b w:val="0"/>
          <w:bCs/>
          <w:color w:val="FF0000"/>
          <w:sz w:val="30"/>
          <w:szCs w:val="30"/>
        </w:rPr>
      </w:pPr>
      <w:r>
        <w:rPr>
          <w:rFonts w:hint="eastAsia" w:ascii="宋体" w:hAnsi="宋体"/>
          <w:b w:val="0"/>
          <w:bCs/>
          <w:color w:val="auto"/>
          <w:sz w:val="30"/>
          <w:szCs w:val="30"/>
        </w:rPr>
        <w:t>2、在日常预算管理过程中，进一步加强支出的审核、跟踪及预算执行情况分析。</w:t>
      </w:r>
    </w:p>
    <w:p>
      <w:pPr>
        <w:spacing w:line="560" w:lineRule="exact"/>
        <w:rPr>
          <w:rFonts w:hint="eastAsia" w:ascii="仿宋_GB2312" w:eastAsia="仿宋_GB2312"/>
          <w:b w:val="0"/>
          <w:bCs/>
          <w:color w:val="000000"/>
          <w:sz w:val="32"/>
        </w:rPr>
      </w:pPr>
    </w:p>
    <w:p>
      <w:pPr>
        <w:widowControl/>
        <w:rPr>
          <w:rFonts w:hint="eastAsia" w:ascii="黑体" w:hAnsi="宋体" w:eastAsia="黑体" w:cs="宋体"/>
          <w:bCs/>
          <w:kern w:val="0"/>
          <w:sz w:val="32"/>
          <w:szCs w:val="32"/>
        </w:rPr>
      </w:pPr>
    </w:p>
    <w:p>
      <w:pPr>
        <w:widowControl/>
        <w:rPr>
          <w:rFonts w:hint="eastAsia" w:ascii="黑体" w:hAnsi="宋体" w:eastAsia="黑体" w:cs="宋体"/>
          <w:bCs/>
          <w:kern w:val="0"/>
          <w:sz w:val="32"/>
          <w:szCs w:val="32"/>
        </w:rPr>
      </w:pPr>
    </w:p>
    <w:p>
      <w:pPr>
        <w:widowControl/>
        <w:rPr>
          <w:rFonts w:hint="eastAsia" w:ascii="黑体" w:hAnsi="宋体" w:eastAsia="黑体" w:cs="宋体"/>
          <w:bCs/>
          <w:kern w:val="0"/>
          <w:sz w:val="32"/>
          <w:szCs w:val="32"/>
        </w:rPr>
      </w:pPr>
    </w:p>
    <w:p>
      <w:pPr>
        <w:widowControl/>
        <w:rPr>
          <w:rFonts w:hint="eastAsia" w:ascii="黑体" w:hAnsi="宋体" w:eastAsia="黑体" w:cs="宋体"/>
          <w:bCs/>
          <w:kern w:val="0"/>
          <w:sz w:val="32"/>
          <w:szCs w:val="32"/>
        </w:rPr>
      </w:pPr>
    </w:p>
    <w:p>
      <w:pPr>
        <w:widowControl/>
        <w:rPr>
          <w:rFonts w:hint="eastAsia" w:ascii="黑体" w:hAnsi="宋体" w:eastAsia="黑体" w:cs="宋体"/>
          <w:bCs/>
          <w:kern w:val="0"/>
          <w:sz w:val="32"/>
          <w:szCs w:val="32"/>
        </w:rPr>
      </w:pPr>
    </w:p>
    <w:p>
      <w:pPr>
        <w:widowControl/>
        <w:rPr>
          <w:rFonts w:hint="eastAsia" w:ascii="黑体" w:hAnsi="宋体" w:eastAsia="黑体" w:cs="宋体"/>
          <w:bCs/>
          <w:kern w:val="0"/>
          <w:sz w:val="32"/>
          <w:szCs w:val="32"/>
        </w:rPr>
      </w:pPr>
    </w:p>
    <w:p>
      <w:pPr>
        <w:widowControl/>
        <w:rPr>
          <w:rFonts w:hint="eastAsia" w:ascii="黑体" w:hAnsi="宋体" w:eastAsia="黑体" w:cs="宋体"/>
          <w:bCs/>
          <w:kern w:val="0"/>
          <w:sz w:val="32"/>
          <w:szCs w:val="32"/>
        </w:rPr>
      </w:pPr>
    </w:p>
    <w:p>
      <w:pPr>
        <w:widowControl/>
        <w:rPr>
          <w:rFonts w:hint="eastAsia" w:ascii="黑体" w:hAnsi="宋体" w:eastAsia="黑体" w:cs="宋体"/>
          <w:bCs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C2A807"/>
    <w:multiLevelType w:val="singleLevel"/>
    <w:tmpl w:val="B1C2A80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6362EF3"/>
    <w:multiLevelType w:val="singleLevel"/>
    <w:tmpl w:val="06362EF3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54110"/>
    <w:rsid w:val="1B854110"/>
    <w:rsid w:val="2F7067C2"/>
    <w:rsid w:val="30E7760E"/>
    <w:rsid w:val="33FC1003"/>
    <w:rsid w:val="40FF0CFC"/>
    <w:rsid w:val="45D303A5"/>
    <w:rsid w:val="56EB4328"/>
    <w:rsid w:val="649D2D3A"/>
    <w:rsid w:val="67A72DF7"/>
    <w:rsid w:val="75F7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2019-02-25T02:09:00Z</dcterms:created>
  <dc:creator>Administrator</dc:creator>
  <cp:lastModifiedBy>Administrator</cp:lastModifiedBy>
  <dcterms:modified xsi:type="dcterms:W3CDTF">2019-03-08T00:57:48Z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