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620" w:lineRule="exact"/>
        <w:rPr>
          <w:rFonts w:eastAsia="仿宋_GB2312" w:hint="eastAsia"/>
          <w:sz w:val="32"/>
          <w:szCs w:val="32"/>
        </w:rPr>
      </w:pPr>
      <w:r>
        <w:rPr>
          <w:rFonts w:eastAsia="仿宋_GB2312"/>
          <w:sz w:val="32"/>
          <w:szCs w:val="32"/>
        </w:rPr>
        <w:t>附件</w:t>
      </w:r>
      <w:r>
        <w:rPr>
          <w:rFonts w:eastAsia="仿宋_GB2312" w:hint="eastAsia"/>
          <w:sz w:val="32"/>
          <w:szCs w:val="32"/>
        </w:rPr>
        <w:t>1：</w:t>
      </w:r>
      <w:r>
        <w:rPr>
          <w:rFonts w:eastAsia="仿宋_GB2312"/>
          <w:sz w:val="32"/>
          <w:szCs w:val="32"/>
        </w:rPr>
        <w:tab/>
      </w:r>
    </w:p>
    <w:p>
      <w:pPr>
        <w:spacing w:line="620" w:lineRule="exact"/>
        <w:jc w:val="center"/>
        <w:rPr>
          <w:rFonts w:ascii="方正小标宋简体" w:eastAsia="方正小标宋简体"/>
          <w:color w:val="000000"/>
          <w:kern w:val="0"/>
          <w:sz w:val="36"/>
          <w:szCs w:val="36"/>
        </w:rPr>
      </w:pPr>
      <w:r>
        <w:rPr>
          <w:rFonts w:ascii="方正小标宋简体" w:eastAsia="方正小标宋简体" w:hint="eastAsia"/>
          <w:color w:val="000000"/>
          <w:kern w:val="0"/>
          <w:sz w:val="36"/>
          <w:szCs w:val="36"/>
        </w:rPr>
        <w:t>2018年度专项（项目）资金绩效自评报告</w:t>
      </w:r>
    </w:p>
    <w:p>
      <w:pPr>
        <w:spacing w:line="620" w:lineRule="exact"/>
        <w:ind w:firstLineChars="200" w:firstLine="640"/>
        <w:rPr>
          <w:rFonts w:ascii="黑体" w:eastAsia="黑体"/>
          <w:color w:val="000000"/>
          <w:kern w:val="0"/>
          <w:sz w:val="32"/>
          <w:szCs w:val="32"/>
        </w:rPr>
      </w:pPr>
      <w:r>
        <w:rPr>
          <w:rFonts w:ascii="黑体" w:eastAsia="黑体" w:hint="eastAsia"/>
          <w:color w:val="000000"/>
          <w:kern w:val="0"/>
          <w:sz w:val="32"/>
          <w:szCs w:val="32"/>
        </w:rPr>
        <w:t>一、项目概况</w:t>
      </w:r>
    </w:p>
    <w:p>
      <w:pPr>
        <w:spacing w:line="620" w:lineRule="exact"/>
        <w:ind w:firstLineChars="200" w:firstLine="640"/>
        <w:rPr>
          <w:rFonts w:eastAsia="仿宋_GB2312"/>
          <w:color w:val="000000"/>
          <w:kern w:val="0"/>
          <w:sz w:val="32"/>
          <w:szCs w:val="32"/>
        </w:rPr>
      </w:pPr>
      <w:r>
        <w:rPr>
          <w:rFonts w:eastAsia="仿宋_GB2312"/>
          <w:color w:val="000000"/>
          <w:kern w:val="0"/>
          <w:sz w:val="32"/>
          <w:szCs w:val="32"/>
        </w:rPr>
        <w:t>（一）项目单位基本情况。</w:t>
      </w:r>
    </w:p>
    <w:p>
      <w:pPr>
        <w:pBdr>
          <w:top w:val="none" w:sz="0" w:space="0" w:color="auto"/>
          <w:left w:val="none" w:sz="0" w:space="0" w:color="auto"/>
          <w:bottom w:val="none" w:sz="0" w:space="0" w:color="auto"/>
          <w:right w:val="none" w:sz="0" w:space="0" w:color="auto"/>
        </w:pBdr>
        <w:spacing w:line="560" w:lineRule="exact"/>
        <w:ind w:firstLineChars="200" w:firstLine="640"/>
        <w:rPr>
          <w:rFonts w:eastAsia="仿宋_GB2312" w:hint="eastAsia"/>
          <w:color w:val="000000"/>
          <w:kern w:val="0"/>
          <w:sz w:val="32"/>
          <w:szCs w:val="32"/>
          <w:bdr w:val="none" w:sz="0" w:space="0" w:color="auto"/>
        </w:rPr>
      </w:pPr>
      <w:r>
        <w:rPr>
          <w:rFonts w:eastAsia="仿宋_GB2312"/>
          <w:color w:val="000000"/>
          <w:kern w:val="0"/>
          <w:sz w:val="32"/>
          <w:szCs w:val="32"/>
          <w:bdr w:val="none" w:sz="0" w:space="0" w:color="auto"/>
        </w:rPr>
        <w:t>区发展和改革委员会为全额拨款正科级行政单位，主要职责：1、</w:t>
      </w:r>
      <w:r>
        <w:rPr>
          <w:rFonts w:eastAsia="仿宋_GB2312" w:hint="eastAsia"/>
          <w:color w:val="000000"/>
          <w:kern w:val="0"/>
          <w:sz w:val="32"/>
          <w:szCs w:val="32"/>
          <w:bdr w:val="none" w:sz="0" w:space="0" w:color="auto"/>
        </w:rPr>
        <w:t>负责拟订并组织实施全区国民经济和社会发展战略、中长期规划和年度计划，统筹协调相关总体规划、区域规划、主体功能区规划与专项规划。</w:t>
      </w:r>
      <w:r>
        <w:rPr>
          <w:rFonts w:eastAsia="仿宋_GB2312"/>
          <w:color w:val="000000"/>
          <w:kern w:val="0"/>
          <w:sz w:val="32"/>
          <w:szCs w:val="32"/>
          <w:bdr w:val="none" w:sz="0" w:space="0" w:color="auto"/>
        </w:rPr>
        <w:t>2、</w:t>
      </w:r>
      <w:r>
        <w:rPr>
          <w:rFonts w:eastAsia="仿宋_GB2312" w:hint="eastAsia"/>
          <w:color w:val="000000"/>
          <w:kern w:val="0"/>
          <w:sz w:val="32"/>
          <w:szCs w:val="32"/>
          <w:bdr w:val="none" w:sz="0" w:space="0" w:color="auto"/>
        </w:rPr>
        <w:t>负责研究全区宏观经济运行、总量平衡、经济安全和总体产业安全等重要问题，提出宏观调控措施建议。负责协调解决全区经济运行中的重大问题。</w:t>
      </w:r>
      <w:r>
        <w:rPr>
          <w:rFonts w:eastAsia="仿宋_GB2312"/>
          <w:color w:val="000000"/>
          <w:kern w:val="0"/>
          <w:sz w:val="32"/>
          <w:szCs w:val="32"/>
          <w:bdr w:val="none" w:sz="0" w:space="0" w:color="auto"/>
        </w:rPr>
        <w:t>3、</w:t>
      </w:r>
      <w:r>
        <w:rPr>
          <w:rFonts w:eastAsia="仿宋_GB2312" w:hint="eastAsia"/>
          <w:color w:val="000000"/>
          <w:kern w:val="0"/>
          <w:sz w:val="32"/>
          <w:szCs w:val="32"/>
          <w:bdr w:val="none" w:sz="0" w:space="0" w:color="auto"/>
        </w:rPr>
        <w:t>负责汇总全区社会资金总体运行情况，综合分析财政、金融的执行效果，会同有关部门完善宏观调控协调机制，协调推进产业、创业等投资基金的发展。</w:t>
      </w:r>
      <w:r>
        <w:rPr>
          <w:rFonts w:eastAsia="仿宋_GB2312"/>
          <w:color w:val="000000"/>
          <w:kern w:val="0"/>
          <w:sz w:val="32"/>
          <w:szCs w:val="32"/>
          <w:bdr w:val="none" w:sz="0" w:space="0" w:color="auto"/>
        </w:rPr>
        <w:t>4、</w:t>
      </w:r>
      <w:r>
        <w:rPr>
          <w:rFonts w:eastAsia="仿宋_GB2312" w:hint="eastAsia"/>
          <w:color w:val="000000"/>
          <w:kern w:val="0"/>
          <w:sz w:val="32"/>
          <w:szCs w:val="32"/>
          <w:bdr w:val="none" w:sz="0" w:space="0" w:color="auto"/>
        </w:rPr>
        <w:t>负责研究全区经济体制改革和对外开放重大问题。负责组织拟订全区综合性经济体制改革方案，协调有关专项改革方案，会同有关部门搞好专项改革之间的衔接。</w:t>
      </w:r>
      <w:r>
        <w:rPr>
          <w:rFonts w:eastAsia="仿宋_GB2312"/>
          <w:color w:val="000000"/>
          <w:kern w:val="0"/>
          <w:sz w:val="32"/>
          <w:szCs w:val="32"/>
          <w:bdr w:val="none" w:sz="0" w:space="0" w:color="auto"/>
        </w:rPr>
        <w:t>5、</w:t>
      </w:r>
      <w:r>
        <w:rPr>
          <w:rFonts w:eastAsia="仿宋_GB2312" w:hint="eastAsia"/>
          <w:color w:val="000000"/>
          <w:kern w:val="0"/>
          <w:sz w:val="32"/>
          <w:szCs w:val="32"/>
          <w:bdr w:val="none" w:sz="0" w:space="0" w:color="auto"/>
        </w:rPr>
        <w:t>负责拟订全区社会固定资产投资总规模和投资结构的调控目标、意见及措施，统筹安排区级财政性建设资金和投资项目，编制下达政府投资年度计划。负责规划全区重大建设项目和生产力布局，按规定权限审批、核准、审核、备案、跨行业、跨领域和涉及综合平衡、重大布局的重大建设项目、外资项目、境外投资项目。负责研究提出全区利用外资和境外投资的战略、规划、总量平衡以及结构优化的目标和建议，指导和监督国外贷款建设资金的使用，引导民间投资方向。负责研究提出区重点建设项目计划，组织开展重大建设项目稽察，负责政府投资项目代建制实施的指导、协调和监督管理，指导工程咨询业发展。</w:t>
      </w:r>
      <w:r>
        <w:rPr>
          <w:rFonts w:eastAsia="仿宋_GB2312"/>
          <w:color w:val="000000"/>
          <w:kern w:val="0"/>
          <w:sz w:val="32"/>
          <w:szCs w:val="32"/>
          <w:bdr w:val="none" w:sz="0" w:space="0" w:color="auto"/>
        </w:rPr>
        <w:t>6、</w:t>
      </w:r>
      <w:r>
        <w:rPr>
          <w:rFonts w:eastAsia="仿宋_GB2312" w:hint="eastAsia"/>
          <w:color w:val="000000"/>
          <w:kern w:val="0"/>
          <w:sz w:val="32"/>
          <w:szCs w:val="32"/>
          <w:bdr w:val="none" w:sz="0" w:space="0" w:color="auto"/>
        </w:rPr>
        <w:t>负责贯彻实施综合性产业政策，协调全区一、二、三产业发展的重大问题并衔接平衡相关发展规划和重大政策。负责协调农业和农村经济社会发展的重大问题。负责拟定发展战略性新兴产业规划，研究提出新型工业化和产业集群发展的意见措施。负责会同有关部门贯彻执行高新技术产业、服务业发展规划和重大政策，实施高新技术产业发展的宏观指导，协调解决重大技术装备推广应用等方面的重大问题。</w:t>
      </w:r>
      <w:r>
        <w:rPr>
          <w:rFonts w:eastAsia="仿宋_GB2312"/>
          <w:color w:val="000000"/>
          <w:kern w:val="0"/>
          <w:sz w:val="32"/>
          <w:szCs w:val="32"/>
          <w:bdr w:val="none" w:sz="0" w:space="0" w:color="auto"/>
        </w:rPr>
        <w:t>7、</w:t>
      </w:r>
      <w:r>
        <w:rPr>
          <w:rFonts w:eastAsia="仿宋_GB2312" w:hint="eastAsia"/>
          <w:color w:val="000000"/>
          <w:kern w:val="0"/>
          <w:sz w:val="32"/>
          <w:szCs w:val="32"/>
          <w:bdr w:val="none" w:sz="0" w:space="0" w:color="auto"/>
        </w:rPr>
        <w:t>负责贯彻落实国家中部崛起、长江经济带开发建设的政策措施。负责研究制定统筹促进区内协调发展。负责拟订并组织实施全区以工代赈规划和计划。负责参与研究拟订全区城镇化发展战略和意见措施，制定开发区发展规划，组织重大投资项目的实施，统筹协调区域合作，承担区对口支援有关工作。</w:t>
      </w:r>
      <w:r>
        <w:rPr>
          <w:rFonts w:eastAsia="仿宋_GB2312"/>
          <w:color w:val="000000"/>
          <w:kern w:val="0"/>
          <w:sz w:val="32"/>
          <w:szCs w:val="32"/>
          <w:bdr w:val="none" w:sz="0" w:space="0" w:color="auto"/>
        </w:rPr>
        <w:t>8、</w:t>
      </w:r>
      <w:r>
        <w:rPr>
          <w:rFonts w:eastAsia="仿宋_GB2312" w:hint="eastAsia"/>
          <w:color w:val="000000"/>
          <w:kern w:val="0"/>
          <w:sz w:val="32"/>
          <w:szCs w:val="32"/>
          <w:bdr w:val="none" w:sz="0" w:space="0" w:color="auto"/>
        </w:rPr>
        <w:t>承担全区重要商品总量平衡和宏观调控，编制重要农产品、工业品和原材料进出口总量平衡计划并监督执行，根据全区经济运行情况对计划进行调整。负责拟订重要战略物资储备规划，负责组织收储、动用、轮换和管理等工作。牵头负责全区物流发展工作，拟订现代物流业发展战略、规划，协调物流业发展重大布局。</w:t>
      </w:r>
      <w:r>
        <w:rPr>
          <w:rFonts w:eastAsia="仿宋_GB2312"/>
          <w:color w:val="000000"/>
          <w:kern w:val="0"/>
          <w:sz w:val="32"/>
          <w:szCs w:val="32"/>
          <w:bdr w:val="none" w:sz="0" w:space="0" w:color="auto"/>
        </w:rPr>
        <w:t>9、</w:t>
      </w:r>
      <w:r>
        <w:rPr>
          <w:rFonts w:eastAsia="仿宋_GB2312" w:hint="eastAsia"/>
          <w:color w:val="000000"/>
          <w:kern w:val="0"/>
          <w:sz w:val="32"/>
          <w:szCs w:val="32"/>
          <w:bdr w:val="none" w:sz="0" w:space="0" w:color="auto"/>
        </w:rPr>
        <w:t>负责全区社会发展与国民经济发展的相互衔接，组织拟订全区社会发展战略、总体规划和年度计划，贯彻执行人口和计划生育、科学技术、教育、文化、卫生、民政等发展政策，拟订基本公共服务体系建设规划和收入分配制度改革，研究提出全区促进就业、完善社会保障与经济协调发展的意见建议，协调社会事业发展和改革中的重大问题，参与推进深化医药卫生体制改革工作。</w:t>
      </w:r>
      <w:r>
        <w:rPr>
          <w:rFonts w:eastAsia="仿宋_GB2312"/>
          <w:color w:val="000000"/>
          <w:kern w:val="0"/>
          <w:sz w:val="32"/>
          <w:szCs w:val="32"/>
          <w:bdr w:val="none" w:sz="0" w:space="0" w:color="auto"/>
        </w:rPr>
        <w:t>10、</w:t>
      </w:r>
      <w:r>
        <w:rPr>
          <w:rFonts w:eastAsia="仿宋_GB2312" w:hint="eastAsia"/>
          <w:color w:val="000000"/>
          <w:kern w:val="0"/>
          <w:sz w:val="32"/>
          <w:szCs w:val="32"/>
          <w:bdr w:val="none" w:sz="0" w:space="0" w:color="auto"/>
        </w:rPr>
        <w:t>负责研究分析全区经济社会与资源、环境协调发展的重大问题，负责节能减排的综合协调工作，组织拟订发展循环经济、能源资源节约和综合利用规划、措施并协调实施，参与编制生态文明建设、环境保护规划，协调生态建设、能源资源节约和综合利用的重大问题，综合协调节能环保产业和清洁生产促进有关工作。负责组织拟订全区应对气候变化战略、规划和措施并协调实施。负责全区范围内节能法律法规、节能标准执行情况及用能情况的监察执法工作，完善固定资产投资项目节能评估和审查办法，组织实施固定资产投资项目节能评估审查。</w:t>
      </w:r>
      <w:r>
        <w:rPr>
          <w:rFonts w:eastAsia="仿宋_GB2312"/>
          <w:color w:val="000000"/>
          <w:kern w:val="0"/>
          <w:sz w:val="32"/>
          <w:szCs w:val="32"/>
          <w:bdr w:val="none" w:sz="0" w:space="0" w:color="auto"/>
        </w:rPr>
        <w:t>11、</w:t>
      </w:r>
      <w:r>
        <w:rPr>
          <w:rFonts w:eastAsia="仿宋_GB2312" w:hint="eastAsia"/>
          <w:color w:val="000000"/>
          <w:kern w:val="0"/>
          <w:sz w:val="32"/>
          <w:szCs w:val="32"/>
          <w:bdr w:val="none" w:sz="0" w:space="0" w:color="auto"/>
        </w:rPr>
        <w:t>负责贯彻执行国家、省、市价格政策，研究拟订全区重大价格改革方案并组织实施，监测、分析全区市场价格形势，组织实施全区价格总水平调控，依法组织价格听证会和价格专家论证，运用价格杠杆促进经济社会发展。负责价格调节基金的征收、管理、使用工作。负责拟订全区商品价格、服务价格及行政事业性收费的定价目录和管理办法并组织实施，制定和调整实行政府指导价、政府定价的商品、服务价格，参与审批事业性收费项目及收费标准。负责管理行政机关和法律法规授权的组织依法强制使用或指定配套销售的商品和服务价格，规范中介组织的收费行为。负责依法对重大自然灾害和特殊时期实施临时价格干预措施。负责指导全区价格监督工作，组织实施价格监督检查，依法查处商品、服务价格和各类收费中的违法行为，协助上级价格监督检查部门调查价格垄断行为。负责指导价格公示、价格自律、价格诚信、价格信息等价格服务工作，推行明码标价。负责依法组织对实行政府指导价、政府定价的商品、服务价格和行政事业性收费的成本监审工作。负责涉案物价格鉴证工作，指导中介机构的价格鉴证、价格评估工作。</w:t>
      </w:r>
      <w:r>
        <w:rPr>
          <w:rFonts w:eastAsia="仿宋_GB2312"/>
          <w:color w:val="000000"/>
          <w:kern w:val="0"/>
          <w:sz w:val="32"/>
          <w:szCs w:val="32"/>
          <w:bdr w:val="none" w:sz="0" w:space="0" w:color="auto"/>
        </w:rPr>
        <w:t>12、</w:t>
      </w:r>
      <w:r>
        <w:rPr>
          <w:rFonts w:eastAsia="仿宋_GB2312" w:hint="eastAsia"/>
          <w:color w:val="000000"/>
          <w:kern w:val="0"/>
          <w:sz w:val="32"/>
          <w:szCs w:val="32"/>
          <w:bdr w:val="none" w:sz="0" w:space="0" w:color="auto"/>
        </w:rPr>
        <w:t>负责研究制定推进社会信用体系建设的政策措施，统筹推进统一的信用信息平台建设，促进信用信息资源的整合与运用，协调社会信用体系建设的重大问题。</w:t>
      </w:r>
      <w:r>
        <w:rPr>
          <w:rFonts w:eastAsia="仿宋_GB2312"/>
          <w:color w:val="000000"/>
          <w:kern w:val="0"/>
          <w:sz w:val="32"/>
          <w:szCs w:val="32"/>
          <w:bdr w:val="none" w:sz="0" w:space="0" w:color="auto"/>
        </w:rPr>
        <w:t>13、</w:t>
      </w:r>
      <w:r>
        <w:rPr>
          <w:rFonts w:eastAsia="仿宋_GB2312" w:hint="eastAsia"/>
          <w:color w:val="000000"/>
          <w:kern w:val="0"/>
          <w:sz w:val="32"/>
          <w:szCs w:val="32"/>
          <w:bdr w:val="none" w:sz="0" w:space="0" w:color="auto"/>
        </w:rPr>
        <w:t>负责组织编制全区国民经济动员和装备动员规划、计划，组织实施全区国民经济动员和装备动员有关工作，协调有关重大问题。</w:t>
      </w:r>
      <w:r>
        <w:rPr>
          <w:rFonts w:eastAsia="仿宋_GB2312"/>
          <w:color w:val="000000"/>
          <w:kern w:val="0"/>
          <w:sz w:val="32"/>
          <w:szCs w:val="32"/>
          <w:bdr w:val="none" w:sz="0" w:space="0" w:color="auto"/>
        </w:rPr>
        <w:t>14、</w:t>
      </w:r>
      <w:r>
        <w:rPr>
          <w:rFonts w:eastAsia="仿宋_GB2312" w:hint="eastAsia"/>
          <w:color w:val="000000"/>
          <w:kern w:val="0"/>
          <w:sz w:val="32"/>
          <w:szCs w:val="32"/>
          <w:bdr w:val="none" w:sz="0" w:space="0" w:color="auto"/>
        </w:rPr>
        <w:t>负责指导、协调全区招标投标工作，拟定全区招投标综合性意见和办法，依法对工程建设项目招标范围、招标方式和招标组织形式进行核准；负责权限范围内相关行政许可和资质、资格管理工作。</w:t>
      </w:r>
      <w:r>
        <w:rPr>
          <w:rFonts w:eastAsia="仿宋_GB2312"/>
          <w:color w:val="000000"/>
          <w:kern w:val="0"/>
          <w:sz w:val="32"/>
          <w:szCs w:val="32"/>
          <w:bdr w:val="none" w:sz="0" w:space="0" w:color="auto"/>
        </w:rPr>
        <w:t>15、</w:t>
      </w:r>
      <w:r>
        <w:rPr>
          <w:rFonts w:eastAsia="仿宋_GB2312" w:hint="eastAsia"/>
          <w:color w:val="000000"/>
          <w:kern w:val="0"/>
          <w:sz w:val="32"/>
          <w:szCs w:val="32"/>
          <w:bdr w:val="none" w:sz="0" w:space="0" w:color="auto"/>
        </w:rPr>
        <w:t>承办区委、区人民政府交办的其他事项</w:t>
      </w:r>
    </w:p>
    <w:p>
      <w:pPr>
        <w:spacing w:line="620" w:lineRule="exact"/>
        <w:ind w:firstLineChars="200" w:firstLine="640"/>
        <w:rPr>
          <w:rFonts w:eastAsia="仿宋_GB2312" w:hint="eastAsia"/>
          <w:color w:val="000000"/>
          <w:kern w:val="0"/>
          <w:sz w:val="32"/>
          <w:szCs w:val="32"/>
          <w:bdr w:val="none" w:sz="0" w:space="0" w:color="auto"/>
        </w:rPr>
      </w:pPr>
      <w:r>
        <w:rPr>
          <w:rFonts w:eastAsia="仿宋_GB2312"/>
          <w:color w:val="000000"/>
          <w:kern w:val="0"/>
          <w:sz w:val="32"/>
          <w:szCs w:val="32"/>
          <w:bdr w:val="none" w:sz="0" w:space="0" w:color="auto"/>
        </w:rPr>
        <w:t>（二）项目</w:t>
      </w:r>
      <w:r>
        <w:rPr>
          <w:rFonts w:eastAsia="仿宋_GB2312" w:hint="eastAsia"/>
          <w:color w:val="000000"/>
          <w:kern w:val="0"/>
          <w:sz w:val="32"/>
          <w:szCs w:val="32"/>
          <w:bdr w:val="none" w:sz="0" w:space="0" w:color="auto"/>
        </w:rPr>
        <w:t>预算和绩效目标</w:t>
      </w:r>
      <w:r>
        <w:rPr>
          <w:rFonts w:eastAsia="仿宋_GB2312"/>
          <w:color w:val="000000"/>
          <w:kern w:val="0"/>
          <w:sz w:val="32"/>
          <w:szCs w:val="32"/>
          <w:bdr w:val="none" w:sz="0" w:space="0" w:color="auto"/>
        </w:rPr>
        <w:t>情况简介，包括项目基本性质、用途和主要内容、涉及范围等。</w:t>
      </w:r>
    </w:p>
    <w:p>
      <w:pPr>
        <w:spacing w:line="620" w:lineRule="exact"/>
        <w:ind w:firstLineChars="200" w:firstLine="640"/>
        <w:rPr>
          <w:rFonts w:eastAsia="仿宋_GB2312"/>
          <w:color w:val="000000"/>
          <w:kern w:val="0"/>
          <w:sz w:val="32"/>
          <w:szCs w:val="32"/>
          <w:bdr w:val="none" w:sz="0" w:space="0" w:color="auto"/>
        </w:rPr>
      </w:pPr>
      <w:r>
        <w:rPr>
          <w:rFonts w:eastAsia="仿宋_GB2312"/>
          <w:color w:val="000000"/>
          <w:kern w:val="0"/>
          <w:sz w:val="32"/>
          <w:szCs w:val="32"/>
          <w:bdr w:val="none" w:sz="0" w:space="0" w:color="auto"/>
        </w:rPr>
        <w:t>该专项资金为节能专项工作经费，项目性质为业务工作专项，用途和主要内容为单位的</w:t>
      </w:r>
      <w:r>
        <w:rPr>
          <w:rFonts w:eastAsia="仿宋_GB2312" w:hint="eastAsia"/>
          <w:color w:val="000000"/>
          <w:kern w:val="0"/>
          <w:sz w:val="32"/>
          <w:szCs w:val="32"/>
          <w:bdr w:val="none" w:sz="0" w:space="0" w:color="auto"/>
        </w:rPr>
        <w:t>负责全区范围内节能法律法规、节能标准执行情况及用能情况的监察执法工作</w:t>
      </w:r>
      <w:r>
        <w:rPr>
          <w:rFonts w:eastAsia="仿宋_GB2312"/>
          <w:color w:val="000000"/>
          <w:kern w:val="0"/>
          <w:sz w:val="32"/>
          <w:szCs w:val="32"/>
          <w:bdr w:val="none" w:sz="0" w:space="0" w:color="auto"/>
        </w:rPr>
        <w:t>、</w:t>
      </w:r>
      <w:r>
        <w:rPr>
          <w:rFonts w:eastAsia="仿宋_GB2312" w:hint="eastAsia"/>
          <w:color w:val="000000"/>
          <w:kern w:val="0"/>
          <w:sz w:val="32"/>
          <w:szCs w:val="32"/>
          <w:bdr w:val="none" w:sz="0" w:space="0" w:color="auto"/>
        </w:rPr>
        <w:t>完善固定资产投资项目节能评估和审查办法</w:t>
      </w:r>
      <w:r>
        <w:rPr>
          <w:rFonts w:eastAsia="仿宋_GB2312"/>
          <w:color w:val="000000"/>
          <w:kern w:val="0"/>
          <w:sz w:val="32"/>
          <w:szCs w:val="32"/>
          <w:bdr w:val="none" w:sz="0" w:space="0" w:color="auto"/>
        </w:rPr>
        <w:t>、</w:t>
      </w:r>
      <w:r>
        <w:rPr>
          <w:rFonts w:eastAsia="仿宋_GB2312" w:hint="eastAsia"/>
          <w:color w:val="000000"/>
          <w:kern w:val="0"/>
          <w:sz w:val="32"/>
          <w:szCs w:val="32"/>
          <w:bdr w:val="none" w:sz="0" w:space="0" w:color="auto"/>
        </w:rPr>
        <w:t>组织实施固定资产投资项目节能评估审查</w:t>
      </w:r>
      <w:r>
        <w:rPr>
          <w:rFonts w:eastAsia="仿宋_GB2312"/>
          <w:color w:val="000000"/>
          <w:kern w:val="0"/>
          <w:sz w:val="32"/>
          <w:szCs w:val="32"/>
          <w:bdr w:val="none" w:sz="0" w:space="0" w:color="auto"/>
        </w:rPr>
        <w:t>等相关工作的相关支出</w:t>
      </w:r>
      <w:r>
        <w:rPr>
          <w:rFonts w:eastAsia="仿宋_GB2312" w:hint="eastAsia"/>
          <w:color w:val="000000"/>
          <w:kern w:val="0"/>
          <w:sz w:val="32"/>
          <w:szCs w:val="32"/>
          <w:bdr w:val="none" w:sz="0" w:space="0" w:color="auto"/>
        </w:rPr>
        <w:t>。</w:t>
      </w:r>
    </w:p>
    <w:p>
      <w:pPr>
        <w:spacing w:line="620" w:lineRule="exact"/>
        <w:ind w:firstLineChars="200" w:firstLine="640"/>
        <w:rPr>
          <w:rFonts w:ascii="黑体" w:eastAsia="黑体"/>
          <w:color w:val="000000"/>
          <w:kern w:val="0"/>
          <w:sz w:val="32"/>
          <w:szCs w:val="32"/>
        </w:rPr>
      </w:pPr>
      <w:r>
        <w:rPr>
          <w:rFonts w:ascii="黑体" w:eastAsia="黑体" w:hint="eastAsia"/>
          <w:color w:val="000000"/>
          <w:kern w:val="0"/>
          <w:sz w:val="32"/>
          <w:szCs w:val="32"/>
        </w:rPr>
        <w:t>二、项目组织实施情况</w:t>
      </w:r>
    </w:p>
    <w:p>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（一）项目组织情况分析，主要包括项目招投标、调整、竣工验收等情况。</w:t>
      </w:r>
    </w:p>
    <w:p>
      <w:pPr>
        <w:spacing w:line="620" w:lineRule="exact"/>
        <w:ind w:firstLineChars="200" w:firstLine="640"/>
        <w:rPr>
          <w:rFonts w:eastAsia="仿宋_GB2312" w:hint="eastAsia"/>
          <w:color w:val="000000"/>
          <w:kern w:val="0"/>
          <w:sz w:val="32"/>
          <w:szCs w:val="32"/>
          <w:bdr w:val="none" w:sz="0" w:space="0" w:color="auto"/>
        </w:rPr>
      </w:pPr>
      <w:r>
        <w:rPr>
          <w:rFonts w:eastAsia="仿宋_GB2312"/>
          <w:color w:val="000000"/>
          <w:kern w:val="0"/>
          <w:sz w:val="32"/>
          <w:szCs w:val="32"/>
        </w:rPr>
        <w:t>该项专项业务由委下属节能监察中心负责完成，主要是</w:t>
      </w:r>
      <w:r>
        <w:rPr>
          <w:rFonts w:eastAsia="仿宋_GB2312" w:hint="eastAsia"/>
          <w:color w:val="000000"/>
          <w:kern w:val="0"/>
          <w:sz w:val="32"/>
          <w:szCs w:val="32"/>
          <w:bdr w:val="none" w:sz="0" w:space="0" w:color="auto"/>
        </w:rPr>
        <w:t>节能法律法规、节能标准执行情况及用能情况的监察执法工作</w:t>
      </w:r>
      <w:r>
        <w:rPr>
          <w:rFonts w:eastAsia="仿宋_GB2312"/>
          <w:color w:val="000000"/>
          <w:kern w:val="0"/>
          <w:sz w:val="32"/>
          <w:szCs w:val="32"/>
          <w:bdr w:val="none" w:sz="0" w:space="0" w:color="auto"/>
        </w:rPr>
        <w:t>、</w:t>
      </w:r>
      <w:r>
        <w:rPr>
          <w:rFonts w:eastAsia="仿宋_GB2312" w:hint="eastAsia"/>
          <w:color w:val="000000"/>
          <w:kern w:val="0"/>
          <w:sz w:val="32"/>
          <w:szCs w:val="32"/>
          <w:bdr w:val="none" w:sz="0" w:space="0" w:color="auto"/>
        </w:rPr>
        <w:t>实施固定资产投资项目节能评估审查</w:t>
      </w:r>
      <w:r>
        <w:rPr>
          <w:rFonts w:eastAsia="仿宋_GB2312"/>
          <w:color w:val="000000"/>
          <w:kern w:val="0"/>
          <w:sz w:val="32"/>
          <w:szCs w:val="32"/>
          <w:bdr w:val="none" w:sz="0" w:space="0" w:color="auto"/>
        </w:rPr>
        <w:t>等相关工作。</w:t>
      </w:r>
    </w:p>
    <w:p>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（二）项目管理情况分析，主要包括项目管理制度建设、日常检查监督管理等情况。</w:t>
      </w:r>
    </w:p>
    <w:p>
      <w:pPr>
        <w:spacing w:line="620" w:lineRule="exact"/>
        <w:ind w:firstLineChars="200" w:firstLine="640"/>
        <w:rPr>
          <w:rFonts w:eastAsia="仿宋_GB2312" w:hint="eastAsia"/>
          <w:color w:val="000000"/>
          <w:kern w:val="0"/>
          <w:sz w:val="32"/>
          <w:szCs w:val="32"/>
        </w:rPr>
      </w:pPr>
      <w:r>
        <w:rPr>
          <w:rFonts w:eastAsia="仿宋_GB2312" w:hint="eastAsia"/>
          <w:color w:val="000000"/>
          <w:kern w:val="0"/>
          <w:sz w:val="32"/>
          <w:szCs w:val="32"/>
          <w:lang w:val="en-US" w:eastAsia="zh-CN"/>
        </w:rPr>
        <w:t>项目资金严格按照财务管理规定执行，使用科目合理，程序合法，确保了</w:t>
      </w:r>
      <w:r>
        <w:rPr>
          <w:rFonts w:eastAsia="仿宋_GB2312"/>
          <w:color w:val="000000"/>
          <w:kern w:val="0"/>
          <w:sz w:val="32"/>
          <w:szCs w:val="32"/>
          <w:lang w:val="en-US" w:eastAsia="zh-CN"/>
        </w:rPr>
        <w:t>专项业务</w:t>
      </w:r>
      <w:r>
        <w:rPr>
          <w:rFonts w:eastAsia="仿宋_GB2312" w:hint="eastAsia"/>
          <w:color w:val="000000"/>
          <w:kern w:val="0"/>
          <w:sz w:val="32"/>
          <w:szCs w:val="32"/>
          <w:lang w:val="en-US" w:eastAsia="zh-CN"/>
        </w:rPr>
        <w:t>的顺利完成。</w:t>
      </w:r>
    </w:p>
    <w:p>
      <w:pPr>
        <w:spacing w:line="620" w:lineRule="exact"/>
        <w:ind w:firstLineChars="200" w:firstLine="640"/>
        <w:rPr>
          <w:rFonts w:ascii="黑体" w:eastAsia="黑体"/>
          <w:color w:val="000000"/>
          <w:kern w:val="0"/>
          <w:sz w:val="32"/>
          <w:szCs w:val="32"/>
        </w:rPr>
      </w:pPr>
      <w:r>
        <w:rPr>
          <w:rFonts w:ascii="黑体" w:eastAsia="黑体" w:hint="eastAsia"/>
          <w:color w:val="000000"/>
          <w:kern w:val="0"/>
          <w:sz w:val="32"/>
          <w:szCs w:val="32"/>
        </w:rPr>
        <w:t>三、项目资金使用及管理情况</w:t>
      </w:r>
    </w:p>
    <w:p>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（一）项目资金安排落实、总投入等情况分析。</w:t>
      </w:r>
    </w:p>
    <w:p>
      <w:pPr>
        <w:spacing w:line="620" w:lineRule="exact"/>
        <w:ind w:firstLineChars="200" w:firstLine="640"/>
        <w:rPr>
          <w:rFonts w:eastAsia="仿宋_GB2312" w:hint="eastAsia"/>
          <w:color w:val="000000"/>
          <w:kern w:val="0"/>
          <w:sz w:val="32"/>
          <w:szCs w:val="32"/>
        </w:rPr>
      </w:pPr>
      <w:r>
        <w:rPr>
          <w:rFonts w:eastAsia="仿宋_GB2312"/>
          <w:color w:val="000000"/>
          <w:kern w:val="0"/>
          <w:sz w:val="32"/>
          <w:szCs w:val="32"/>
        </w:rPr>
        <w:t>财政共安排了专项业务资金4.75万元，及时安排下拨到我单位，我单位全部投入到相关业务开支。</w:t>
      </w:r>
    </w:p>
    <w:p>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（二）项目资金实际使用情况分析。</w:t>
      </w:r>
    </w:p>
    <w:p>
      <w:pPr>
        <w:spacing w:line="620" w:lineRule="exact"/>
        <w:ind w:firstLineChars="200" w:firstLine="640"/>
        <w:rPr>
          <w:rFonts w:eastAsia="仿宋_GB2312"/>
          <w:color w:val="000000"/>
          <w:kern w:val="0"/>
          <w:sz w:val="32"/>
          <w:szCs w:val="32"/>
        </w:rPr>
      </w:pPr>
      <w:r>
        <w:rPr>
          <w:rFonts w:eastAsia="仿宋_GB2312"/>
          <w:color w:val="000000"/>
          <w:kern w:val="0"/>
          <w:sz w:val="32"/>
          <w:szCs w:val="32"/>
        </w:rPr>
        <w:t>我单位实际使用专项业务资金4.75万元，全部用于购买相关办公用品、印刷相关资料的支出。</w:t>
      </w:r>
    </w:p>
    <w:p>
      <w:pPr>
        <w:spacing w:line="620" w:lineRule="exact"/>
        <w:ind w:firstLineChars="200" w:firstLine="640"/>
        <w:rPr>
          <w:rFonts w:eastAsia="仿宋_GB2312"/>
          <w:color w:val="000000"/>
          <w:kern w:val="0"/>
          <w:sz w:val="32"/>
          <w:szCs w:val="32"/>
        </w:rPr>
      </w:pPr>
      <w:r>
        <w:rPr>
          <w:rFonts w:eastAsia="仿宋_GB2312" w:hint="eastAsia"/>
          <w:color w:val="000000"/>
          <w:kern w:val="0"/>
          <w:sz w:val="32"/>
          <w:szCs w:val="32"/>
        </w:rPr>
        <w:t>（三）项目资金管理情况分析，主要包括管理制度、办法的制订及执行情况。</w:t>
      </w:r>
    </w:p>
    <w:p>
      <w:pPr>
        <w:spacing w:line="620" w:lineRule="exact"/>
        <w:ind w:firstLineChars="200" w:firstLine="640"/>
        <w:rPr>
          <w:rFonts w:hint="eastAsia"/>
          <w:color w:val="000000"/>
          <w:kern w:val="0"/>
          <w:sz w:val="32"/>
          <w:szCs w:val="32"/>
        </w:rPr>
      </w:pPr>
      <w:r>
        <w:rPr>
          <w:rFonts w:eastAsia="仿宋_GB2312" w:hint="eastAsia"/>
          <w:color w:val="000000"/>
          <w:kern w:val="0"/>
          <w:sz w:val="32"/>
          <w:szCs w:val="32"/>
          <w:lang w:val="en-US" w:eastAsia="zh-CN"/>
        </w:rPr>
        <w:t>我委严格按照国库集中支付流程向区财政申请</w:t>
      </w:r>
      <w:r>
        <w:rPr>
          <w:rFonts w:eastAsia="仿宋_GB2312"/>
          <w:color w:val="000000"/>
          <w:kern w:val="0"/>
          <w:sz w:val="32"/>
          <w:szCs w:val="32"/>
          <w:lang w:val="en-US" w:eastAsia="zh-CN"/>
        </w:rPr>
        <w:t>专项</w:t>
      </w:r>
      <w:r>
        <w:rPr>
          <w:rFonts w:eastAsia="仿宋_GB2312" w:hint="eastAsia"/>
          <w:color w:val="000000"/>
          <w:kern w:val="0"/>
          <w:sz w:val="32"/>
          <w:szCs w:val="32"/>
          <w:lang w:val="en-US" w:eastAsia="zh-CN"/>
        </w:rPr>
        <w:t>资金，依据资金财务审批流程办理款项支付，避免挪用截留项目资金的现象，保障财政资金安全有效使用。</w:t>
      </w:r>
    </w:p>
    <w:p>
      <w:pPr>
        <w:spacing w:line="620" w:lineRule="exact"/>
        <w:ind w:firstLineChars="200" w:firstLine="640"/>
        <w:rPr>
          <w:rFonts w:ascii="黑体" w:eastAsia="黑体" w:hint="eastAsia"/>
          <w:color w:val="000000"/>
          <w:kern w:val="0"/>
          <w:sz w:val="32"/>
          <w:szCs w:val="32"/>
        </w:rPr>
      </w:pPr>
      <w:r>
        <w:rPr>
          <w:rFonts w:ascii="黑体" w:eastAsia="黑体" w:hint="eastAsia"/>
          <w:color w:val="000000"/>
          <w:kern w:val="0"/>
          <w:sz w:val="32"/>
          <w:szCs w:val="32"/>
        </w:rPr>
        <w:t>四、项目绩效指标完成情况</w:t>
      </w:r>
    </w:p>
    <w:p>
      <w:pPr>
        <w:numPr>
          <w:ilvl w:val="0"/>
          <w:numId w:val="1"/>
        </w:numPr>
        <w:spacing w:line="540" w:lineRule="exact"/>
        <w:rPr>
          <w:rFonts w:ascii="仿宋_GB2312" w:eastAsia="仿宋_GB2312"/>
          <w:sz w:val="32"/>
          <w:szCs w:val="32"/>
        </w:rPr>
      </w:pPr>
      <w:r>
        <w:rPr>
          <w:rFonts w:ascii="仿宋_GB2312" w:eastAsia="仿宋_GB2312" w:hint="eastAsia"/>
          <w:sz w:val="32"/>
          <w:szCs w:val="32"/>
        </w:rPr>
        <w:t>产出指标完成情况分析。</w:t>
      </w:r>
    </w:p>
    <w:p>
      <w:pPr>
        <w:spacing w:line="540" w:lineRule="exact"/>
        <w:ind w:left="640" w:firstLine="0"/>
        <w:rPr>
          <w:rFonts w:ascii="仿宋_GB2312" w:eastAsia="仿宋_GB2312"/>
          <w:sz w:val="32"/>
          <w:szCs w:val="32"/>
        </w:rPr>
      </w:pPr>
      <w:r>
        <w:rPr>
          <w:rFonts w:ascii="仿宋_GB2312" w:eastAsia="仿宋_GB2312"/>
          <w:sz w:val="32"/>
          <w:szCs w:val="32"/>
        </w:rPr>
        <w:t>我委严格控制相关支出，厉行节约，在未超支的情况下</w:t>
      </w:r>
    </w:p>
    <w:p>
      <w:pPr>
        <w:spacing w:line="540" w:lineRule="exact"/>
        <w:rPr>
          <w:rFonts w:ascii="仿宋_GB2312" w:eastAsia="仿宋_GB2312"/>
          <w:sz w:val="32"/>
          <w:szCs w:val="32"/>
        </w:rPr>
      </w:pPr>
      <w:r>
        <w:rPr>
          <w:rFonts w:ascii="仿宋_GB2312" w:eastAsia="仿宋_GB2312"/>
          <w:sz w:val="32"/>
          <w:szCs w:val="32"/>
        </w:rPr>
        <w:t>全面完成了节能监察相关的既定工作。</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（二）效益指标完成情况分析。</w:t>
      </w:r>
    </w:p>
    <w:p>
      <w:pPr>
        <w:spacing w:line="540" w:lineRule="exact"/>
        <w:ind w:firstLineChars="200" w:firstLine="640"/>
        <w:rPr>
          <w:rFonts w:ascii="仿宋_GB2312" w:eastAsia="仿宋_GB2312"/>
          <w:sz w:val="32"/>
          <w:szCs w:val="32"/>
        </w:rPr>
      </w:pPr>
      <w:r>
        <w:rPr>
          <w:rFonts w:ascii="仿宋_GB2312" w:eastAsia="仿宋_GB2312"/>
          <w:sz w:val="32"/>
          <w:szCs w:val="32"/>
          <w:lang w:val="en-US" w:eastAsia="zh-CN"/>
        </w:rPr>
        <w:t>专项工作</w:t>
      </w:r>
      <w:r>
        <w:rPr>
          <w:rFonts w:ascii="仿宋_GB2312" w:eastAsia="仿宋_GB2312" w:hint="eastAsia"/>
          <w:sz w:val="32"/>
          <w:szCs w:val="32"/>
          <w:lang w:val="en-US" w:eastAsia="zh-CN"/>
        </w:rPr>
        <w:t>实施时间为2018年1-12月，实施后实现了预定的绩效目标，</w:t>
      </w:r>
      <w:r>
        <w:rPr>
          <w:rFonts w:ascii="仿宋_GB2312" w:eastAsia="仿宋_GB2312"/>
          <w:sz w:val="32"/>
          <w:szCs w:val="32"/>
          <w:lang w:val="en-US" w:eastAsia="zh-CN"/>
        </w:rPr>
        <w:t>节能专项工作完成良好，规模工业单位GDP能耗指标下降了3.5%。</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（三）满意度指标完成情况分析。</w:t>
      </w:r>
    </w:p>
    <w:p>
      <w:pPr>
        <w:spacing w:line="540" w:lineRule="exact"/>
        <w:ind w:firstLineChars="200" w:firstLine="640"/>
        <w:rPr>
          <w:rFonts w:ascii="仿宋_GB2312" w:eastAsia="仿宋_GB2312" w:hint="eastAsia"/>
          <w:sz w:val="32"/>
          <w:szCs w:val="32"/>
        </w:rPr>
      </w:pPr>
      <w:r>
        <w:rPr>
          <w:rFonts w:ascii="仿宋_GB2312" w:eastAsia="仿宋_GB2312"/>
          <w:sz w:val="32"/>
          <w:szCs w:val="32"/>
        </w:rPr>
        <w:t>实施全区节能监察工作，完成了年初的控制指标任务。</w:t>
      </w:r>
      <w:r>
        <w:rPr>
          <w:rFonts w:eastAsia="仿宋_GB2312" w:hint="eastAsia"/>
          <w:color w:val="000000"/>
          <w:kern w:val="0"/>
          <w:sz w:val="32"/>
          <w:szCs w:val="32"/>
        </w:rPr>
        <w:t>项目的经济性</w:t>
      </w:r>
      <w:r>
        <w:rPr>
          <w:rFonts w:eastAsia="仿宋_GB2312"/>
          <w:color w:val="000000"/>
          <w:kern w:val="0"/>
          <w:sz w:val="32"/>
          <w:szCs w:val="32"/>
        </w:rPr>
        <w:t>：专项工作成本控制在4.75万元以内，厉行节约完成相关工作。</w:t>
      </w:r>
      <w:r>
        <w:rPr>
          <w:rFonts w:eastAsia="仿宋_GB2312" w:hint="eastAsia"/>
          <w:color w:val="000000"/>
          <w:kern w:val="0"/>
          <w:sz w:val="32"/>
          <w:szCs w:val="32"/>
        </w:rPr>
        <w:t>效率性</w:t>
      </w:r>
      <w:r>
        <w:rPr>
          <w:rFonts w:eastAsia="仿宋_GB2312"/>
          <w:color w:val="000000"/>
          <w:kern w:val="0"/>
          <w:sz w:val="32"/>
          <w:szCs w:val="32"/>
        </w:rPr>
        <w:t>：全面完成了节能相关指标，</w:t>
      </w:r>
      <w:r>
        <w:rPr>
          <w:rFonts w:ascii="仿宋_GB2312" w:eastAsia="仿宋_GB2312"/>
          <w:sz w:val="32"/>
          <w:szCs w:val="32"/>
          <w:lang w:val="en-US" w:eastAsia="zh-CN"/>
        </w:rPr>
        <w:t>规模工业单位GDP能耗指标下降了3.5%。</w:t>
      </w:r>
      <w:r>
        <w:rPr>
          <w:rFonts w:eastAsia="仿宋_GB2312" w:hint="eastAsia"/>
          <w:color w:val="000000"/>
          <w:kern w:val="0"/>
          <w:sz w:val="32"/>
          <w:szCs w:val="32"/>
        </w:rPr>
        <w:t>有效性和可持续性</w:t>
      </w:r>
      <w:r>
        <w:rPr>
          <w:rFonts w:eastAsia="仿宋_GB2312"/>
          <w:color w:val="000000"/>
          <w:kern w:val="0"/>
          <w:sz w:val="32"/>
          <w:szCs w:val="32"/>
        </w:rPr>
        <w:t>：节能相关政策宣传到位，相关措施实施到位，节能降耗工作</w:t>
      </w:r>
      <w:r>
        <w:rPr>
          <w:rFonts w:eastAsia="仿宋_GB2312" w:hint="eastAsia"/>
          <w:color w:val="000000"/>
          <w:kern w:val="0"/>
          <w:sz w:val="32"/>
          <w:szCs w:val="32"/>
        </w:rPr>
        <w:t>持续发展。</w:t>
      </w:r>
    </w:p>
    <w:p>
      <w:pPr>
        <w:spacing w:line="540" w:lineRule="exact"/>
        <w:ind w:firstLineChars="200" w:firstLine="640"/>
        <w:rPr>
          <w:rFonts w:ascii="黑体" w:eastAsia="黑体" w:cs="黑体"/>
          <w:b/>
          <w:bCs/>
          <w:sz w:val="32"/>
          <w:szCs w:val="32"/>
        </w:rPr>
      </w:pPr>
      <w:r>
        <w:rPr>
          <w:rFonts w:ascii="黑体" w:eastAsia="黑体" w:cs="黑体" w:hint="eastAsia"/>
          <w:b/>
          <w:bCs/>
          <w:color w:val="000000"/>
          <w:kern w:val="0"/>
          <w:sz w:val="32"/>
          <w:szCs w:val="32"/>
        </w:rPr>
        <w:t>五、</w:t>
      </w:r>
      <w:r>
        <w:rPr>
          <w:rFonts w:ascii="黑体" w:eastAsia="黑体" w:cs="黑体" w:hint="eastAsia"/>
          <w:b/>
          <w:bCs/>
          <w:sz w:val="32"/>
          <w:szCs w:val="32"/>
        </w:rPr>
        <w:t>绩效目标未完成原因和下一步改进措施</w:t>
      </w:r>
    </w:p>
    <w:p>
      <w:pPr>
        <w:spacing w:line="540" w:lineRule="exact"/>
        <w:ind w:firstLineChars="200" w:firstLine="640"/>
        <w:rPr>
          <w:rFonts w:ascii="黑体" w:eastAsia="黑体" w:cs="黑体" w:hint="eastAsia"/>
          <w:b/>
          <w:bCs/>
          <w:sz w:val="32"/>
          <w:szCs w:val="32"/>
        </w:rPr>
      </w:pPr>
      <w:r>
        <w:rPr>
          <w:rFonts w:eastAsia="仿宋_GB2312" w:hint="eastAsia"/>
          <w:color w:val="000000"/>
          <w:kern w:val="0"/>
          <w:sz w:val="32"/>
          <w:szCs w:val="32"/>
          <w:lang w:val="en-US" w:eastAsia="zh-CN"/>
        </w:rPr>
        <w:t>绩效目标100%完成。</w:t>
      </w:r>
    </w:p>
    <w:p>
      <w:pPr>
        <w:spacing w:line="540" w:lineRule="exact"/>
        <w:ind w:firstLineChars="200" w:firstLine="640"/>
        <w:rPr>
          <w:rFonts w:ascii="黑体" w:eastAsia="黑体" w:cs="黑体"/>
          <w:b/>
          <w:bCs/>
          <w:sz w:val="32"/>
          <w:szCs w:val="32"/>
        </w:rPr>
      </w:pPr>
      <w:r>
        <w:rPr>
          <w:rFonts w:ascii="黑体" w:eastAsia="黑体" w:cs="黑体" w:hint="eastAsia"/>
          <w:b/>
          <w:bCs/>
          <w:sz w:val="32"/>
          <w:szCs w:val="32"/>
        </w:rPr>
        <w:t>六、绩效自评得分等级结果及拟应用和公开情况</w:t>
      </w:r>
    </w:p>
    <w:p>
      <w:pPr>
        <w:spacing w:line="540" w:lineRule="exact"/>
        <w:ind w:firstLineChars="200" w:firstLine="640"/>
        <w:rPr>
          <w:rFonts w:eastAsia="仿宋_GB2312" w:cs="黑体" w:hint="eastAsia"/>
          <w:bCs/>
          <w:color w:val="000000"/>
          <w:kern w:val="0"/>
          <w:sz w:val="32"/>
          <w:szCs w:val="32"/>
          <w:bdr w:val="none" w:sz="0" w:space="0" w:color="auto"/>
        </w:rPr>
      </w:pPr>
      <w:r>
        <w:rPr>
          <w:rFonts w:eastAsia="仿宋_GB2312" w:cs="黑体"/>
          <w:bCs/>
          <w:color w:val="000000"/>
          <w:kern w:val="0"/>
          <w:sz w:val="32"/>
          <w:szCs w:val="32"/>
          <w:bdr w:val="none" w:sz="0" w:space="0" w:color="auto"/>
        </w:rPr>
        <w:t>自评得分为81分，等级为良好，拟在财政批复后在政府网站上公开。</w:t>
      </w:r>
    </w:p>
    <w:p>
      <w:pPr>
        <w:spacing w:line="620" w:lineRule="exact"/>
        <w:ind w:firstLineChars="200" w:firstLine="640"/>
        <w:rPr>
          <w:rFonts w:ascii="黑体" w:eastAsia="黑体" w:cs="黑体"/>
          <w:b/>
          <w:bCs/>
          <w:color w:val="000000"/>
          <w:kern w:val="0"/>
          <w:sz w:val="32"/>
          <w:szCs w:val="32"/>
        </w:rPr>
      </w:pPr>
      <w:r>
        <w:rPr>
          <w:rFonts w:ascii="黑体" w:eastAsia="黑体" w:cs="黑体" w:hint="eastAsia"/>
          <w:b/>
          <w:bCs/>
          <w:sz w:val="32"/>
          <w:szCs w:val="32"/>
        </w:rPr>
        <w:t>七、绩效自评工作的经验、问题和建议。</w:t>
      </w:r>
      <w:r>
        <w:rPr>
          <w:rFonts w:ascii="黑体" w:eastAsia="黑体" w:cs="黑体" w:hint="eastAsia"/>
          <w:b/>
          <w:bCs/>
          <w:color w:val="000000"/>
          <w:kern w:val="0"/>
          <w:sz w:val="32"/>
          <w:szCs w:val="32"/>
        </w:rPr>
        <w:t>主要包括资金安排、使用过程中的经验、做法、存在的问题、改进措施和有关建议等。</w:t>
      </w:r>
    </w:p>
    <w:p>
      <w:pPr>
        <w:spacing w:line="540" w:lineRule="exact"/>
        <w:ind w:firstLineChars="200" w:firstLine="640"/>
        <w:rPr>
          <w:rFonts w:eastAsia="仿宋_GB2312" w:cs="黑体" w:hint="eastAsia"/>
          <w:bCs/>
          <w:color w:val="000000"/>
          <w:kern w:val="0"/>
          <w:sz w:val="32"/>
          <w:szCs w:val="32"/>
          <w:bdr w:val="none" w:sz="0" w:space="0" w:color="auto"/>
        </w:rPr>
      </w:pPr>
      <w:r>
        <w:rPr>
          <w:rFonts w:eastAsia="仿宋_GB2312" w:cs="黑体" w:hint="eastAsia"/>
          <w:bCs/>
          <w:color w:val="000000"/>
          <w:kern w:val="0"/>
          <w:sz w:val="32"/>
          <w:szCs w:val="32"/>
          <w:bdr w:val="none" w:sz="0" w:space="0" w:color="auto"/>
          <w:lang w:val="en-US" w:eastAsia="zh-CN"/>
        </w:rPr>
        <w:t>对专项资金使用管理环节也还存在不少需要加强沟通和改进的地方。</w:t>
      </w:r>
      <w:r>
        <w:rPr>
          <w:rFonts w:eastAsia="仿宋_GB2312" w:cs="黑体"/>
          <w:bCs/>
          <w:color w:val="000000"/>
          <w:kern w:val="0"/>
          <w:sz w:val="32"/>
          <w:szCs w:val="32"/>
          <w:bdr w:val="none" w:sz="0" w:space="0" w:color="auto"/>
        </w:rPr>
        <w:t>下一步需</w:t>
      </w:r>
      <w:r>
        <w:rPr>
          <w:rFonts w:eastAsia="仿宋_GB2312" w:cs="黑体" w:hint="eastAsia"/>
          <w:bCs/>
          <w:color w:val="000000"/>
          <w:kern w:val="0"/>
          <w:sz w:val="32"/>
          <w:szCs w:val="32"/>
          <w:bdr w:val="none" w:sz="0" w:space="0" w:color="auto"/>
        </w:rPr>
        <w:t>制定相应的监控机制</w:t>
      </w:r>
      <w:r>
        <w:rPr>
          <w:rFonts w:eastAsia="仿宋_GB2312" w:cs="黑体"/>
          <w:bCs/>
          <w:color w:val="000000"/>
          <w:kern w:val="0"/>
          <w:sz w:val="32"/>
          <w:szCs w:val="32"/>
          <w:bdr w:val="none" w:sz="0" w:space="0" w:color="auto"/>
        </w:rPr>
        <w:t>，</w:t>
      </w:r>
      <w:r>
        <w:rPr>
          <w:rFonts w:eastAsia="仿宋_GB2312" w:cs="黑体" w:hint="eastAsia"/>
          <w:bCs/>
          <w:color w:val="000000"/>
          <w:kern w:val="0"/>
          <w:sz w:val="32"/>
          <w:szCs w:val="32"/>
          <w:bdr w:val="none" w:sz="0" w:space="0" w:color="auto"/>
        </w:rPr>
        <w:t>采取相应的财务检查等必要的监控措施或手段。</w:t>
      </w:r>
    </w:p>
    <w:p>
      <w:pPr>
        <w:spacing w:line="540" w:lineRule="exact"/>
        <w:ind w:firstLineChars="200" w:firstLine="640"/>
        <w:rPr>
          <w:rFonts w:ascii="黑体" w:eastAsia="黑体" w:cs="黑体" w:hint="eastAsia"/>
          <w:b/>
          <w:bCs/>
          <w:sz w:val="32"/>
          <w:szCs w:val="32"/>
        </w:rPr>
      </w:pPr>
      <w:r>
        <w:rPr>
          <w:rFonts w:ascii="黑体" w:eastAsia="黑体" w:cs="黑体" w:hint="eastAsia"/>
          <w:b/>
          <w:bCs/>
          <w:sz w:val="32"/>
          <w:szCs w:val="32"/>
        </w:rPr>
        <w:t>八、其他需说明的问题。</w:t>
      </w:r>
    </w:p>
    <w:p>
      <w:pPr>
        <w:spacing w:line="540" w:lineRule="exact"/>
        <w:ind w:firstLineChars="200" w:firstLine="640"/>
        <w:rPr>
          <w:rFonts w:eastAsia="仿宋_GB2312" w:cs="黑体" w:hint="eastAsia"/>
          <w:bCs/>
          <w:color w:val="000000"/>
          <w:kern w:val="0"/>
          <w:sz w:val="32"/>
          <w:szCs w:val="32"/>
          <w:bdr w:val="none" w:sz="0" w:space="0" w:color="auto"/>
        </w:rPr>
      </w:pPr>
      <w:r>
        <w:rPr>
          <w:rFonts w:eastAsia="仿宋_GB2312" w:cs="黑体" w:hint="eastAsia"/>
          <w:bCs/>
          <w:color w:val="000000"/>
          <w:kern w:val="0"/>
          <w:sz w:val="32"/>
          <w:szCs w:val="32"/>
          <w:bdr w:val="none" w:sz="0" w:space="0" w:color="auto"/>
        </w:rPr>
        <w:t>无</w:t>
      </w: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widowControl/>
        <w:spacing w:line="560" w:lineRule="exact"/>
        <w:rPr>
          <w:rFonts w:ascii="仿宋_GB2312" w:eastAsia="仿宋_GB2312" w:cs="仿宋_GB2312" w:hint="eastAsia"/>
          <w:sz w:val="32"/>
          <w:szCs w:val="32"/>
        </w:rPr>
      </w:pPr>
      <w:r>
        <w:rPr>
          <w:rFonts w:ascii="仿宋_GB2312" w:eastAsia="仿宋_GB2312" w:cs="仿宋_GB2312" w:hint="eastAsia"/>
          <w:bCs/>
          <w:kern w:val="0"/>
          <w:sz w:val="32"/>
          <w:szCs w:val="32"/>
        </w:rPr>
        <w:t>附件2</w:t>
      </w:r>
    </w:p>
    <w:p>
      <w:pPr>
        <w:widowControl/>
        <w:ind w:left="93"/>
        <w:jc w:val="center"/>
        <w:rPr>
          <w:rFonts w:ascii="方正小标宋简体" w:eastAsia="方正小标宋简体" w:cs="方正小标宋简体" w:hint="eastAsia"/>
          <w:kern w:val="0"/>
          <w:sz w:val="36"/>
          <w:szCs w:val="36"/>
        </w:rPr>
      </w:pPr>
      <w:r>
        <w:rPr>
          <w:rFonts w:ascii="方正小标宋简体" w:eastAsia="方正小标宋简体" w:cs="方正小标宋简体" w:hint="eastAsia"/>
          <w:kern w:val="0"/>
          <w:sz w:val="36"/>
          <w:szCs w:val="36"/>
        </w:rPr>
        <w:t>2018年度财政专项（项目）资金绩效评价表</w:t>
      </w:r>
    </w:p>
    <w:p>
      <w:pPr>
        <w:widowControl/>
        <w:ind w:left="93"/>
        <w:jc w:val="center"/>
        <w:rPr>
          <w:rFonts w:ascii="方正小标宋简体" w:eastAsia="方正小标宋简体" w:cs="方正小标宋简体" w:hint="eastAsia"/>
          <w:kern w:val="0"/>
          <w:sz w:val="36"/>
          <w:szCs w:val="36"/>
        </w:rPr>
      </w:pPr>
    </w:p>
    <w:tbl>
      <w:tblPr>
        <w:jc w:val="center"/>
        <w:tblW w:w="10608"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656"/>
        <w:gridCol w:w="710"/>
        <w:gridCol w:w="1275"/>
        <w:gridCol w:w="3080"/>
        <w:gridCol w:w="4502"/>
        <w:gridCol w:w="385"/>
      </w:tblGrid>
      <w:tr>
        <w:trPr>
          <w:tblHeader/>
        </w:trPr>
        <w:tc>
          <w:tcPr>
            <w:tcW w:w="656" w:type="dxa"/>
            <w:tcBorders>
              <w:top w:val="single" w:sz="4" w:space="0" w:color="auto"/>
              <w:left w:val="single" w:sz="4" w:space="0" w:color="auto"/>
              <w:bottom w:val="nil"/>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一级</w:t>
            </w:r>
          </w:p>
        </w:tc>
        <w:tc>
          <w:tcPr>
            <w:tcW w:w="710" w:type="dxa"/>
            <w:tcBorders>
              <w:top w:val="single" w:sz="4" w:space="0" w:color="auto"/>
              <w:left w:val="nil"/>
              <w:bottom w:val="nil"/>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二级</w:t>
            </w:r>
          </w:p>
        </w:tc>
        <w:tc>
          <w:tcPr>
            <w:tcW w:w="1275" w:type="dxa"/>
            <w:vMerge w:val="restart"/>
            <w:tcBorders>
              <w:top w:val="single" w:sz="4" w:space="0" w:color="auto"/>
              <w:left w:val="single" w:sz="4" w:space="0" w:color="auto"/>
              <w:bottom w:val="single" w:sz="4" w:space="0" w:color="000000"/>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三级指标</w:t>
            </w:r>
          </w:p>
        </w:tc>
        <w:tc>
          <w:tcPr>
            <w:tcW w:w="3080" w:type="dxa"/>
            <w:vMerge w:val="restart"/>
            <w:tcBorders>
              <w:top w:val="single" w:sz="4" w:space="0" w:color="auto"/>
              <w:left w:val="single" w:sz="4" w:space="0" w:color="auto"/>
              <w:bottom w:val="single" w:sz="4" w:space="0" w:color="000000"/>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指标解释</w:t>
            </w:r>
          </w:p>
        </w:tc>
        <w:tc>
          <w:tcPr>
            <w:tcW w:w="4502" w:type="dxa"/>
            <w:vMerge w:val="restart"/>
            <w:tcBorders>
              <w:top w:val="single" w:sz="4" w:space="0" w:color="auto"/>
              <w:left w:val="single" w:sz="4" w:space="0" w:color="auto"/>
              <w:bottom w:val="single" w:sz="4" w:space="0" w:color="000000"/>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指标说明</w:t>
            </w:r>
          </w:p>
        </w:tc>
        <w:tc>
          <w:tcPr>
            <w:tcW w:w="385" w:type="dxa"/>
            <w:vMerge w:val="restart"/>
            <w:tcBorders>
              <w:top w:val="single" w:sz="4" w:space="0" w:color="auto"/>
              <w:left w:val="single" w:sz="4" w:space="0" w:color="auto"/>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得分</w:t>
            </w:r>
          </w:p>
        </w:tc>
      </w:tr>
      <w:tr>
        <w:trPr>
          <w:trHeight w:val="391"/>
          <w:tblHeader/>
        </w:trPr>
        <w:tc>
          <w:tcPr>
            <w:tcW w:w="656" w:type="dxa"/>
            <w:tcBorders>
              <w:top w:val="nil"/>
              <w:left w:val="single" w:sz="4" w:space="0" w:color="auto"/>
              <w:bottom w:val="single" w:sz="4" w:space="0" w:color="auto"/>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指标</w:t>
            </w:r>
          </w:p>
        </w:tc>
        <w:tc>
          <w:tcPr>
            <w:tcW w:w="710" w:type="dxa"/>
            <w:tcBorders>
              <w:top w:val="nil"/>
              <w:left w:val="nil"/>
              <w:bottom w:val="single" w:sz="4" w:space="0" w:color="auto"/>
              <w:right w:val="single" w:sz="4" w:space="0" w:color="auto"/>
            </w:tcBorders>
            <w:vAlign w:val="center"/>
          </w:tcPr>
          <w:p>
            <w:pPr>
              <w:widowControl/>
              <w:jc w:val="center"/>
              <w:rPr>
                <w:rFonts w:eastAsia="仿宋_GB2312"/>
                <w:b/>
                <w:bCs/>
                <w:color w:val="000000"/>
                <w:kern w:val="0"/>
                <w:sz w:val="20"/>
                <w:szCs w:val="20"/>
              </w:rPr>
            </w:pPr>
            <w:r>
              <w:rPr>
                <w:rFonts w:eastAsia="仿宋_GB2312" w:hint="eastAsia"/>
                <w:b/>
                <w:bCs/>
                <w:color w:val="000000"/>
                <w:kern w:val="0"/>
                <w:sz w:val="20"/>
                <w:szCs w:val="20"/>
              </w:rPr>
              <w:t>指标</w:t>
            </w:r>
          </w:p>
        </w:tc>
        <w:tc>
          <w:tcPr>
            <w:tcW w:w="1275" w:type="dxa"/>
            <w:vMerge/>
            <w:tcBorders>
              <w:top w:val="single" w:sz="4" w:space="0" w:color="auto"/>
              <w:left w:val="single" w:sz="4" w:space="0" w:color="auto"/>
              <w:bottom w:val="single" w:sz="4" w:space="0" w:color="000000"/>
              <w:right w:val="single" w:sz="4" w:space="0" w:color="auto"/>
            </w:tcBorders>
            <w:vAlign w:val="center"/>
          </w:tcPr>
          <w:p/>
        </w:tc>
        <w:tc>
          <w:tcPr>
            <w:tcW w:w="3080" w:type="dxa"/>
            <w:vMerge/>
            <w:tcBorders>
              <w:top w:val="single" w:sz="4" w:space="0" w:color="auto"/>
              <w:left w:val="single" w:sz="4" w:space="0" w:color="auto"/>
              <w:bottom w:val="single" w:sz="4" w:space="0" w:color="000000"/>
              <w:right w:val="single" w:sz="4" w:space="0" w:color="auto"/>
            </w:tcBorders>
            <w:vAlign w:val="center"/>
          </w:tcPr>
          <w:p/>
        </w:tc>
        <w:tc>
          <w:tcPr>
            <w:tcW w:w="4502" w:type="dxa"/>
            <w:vMerge/>
            <w:tcBorders>
              <w:top w:val="single" w:sz="4" w:space="0" w:color="auto"/>
              <w:left w:val="single" w:sz="4" w:space="0" w:color="auto"/>
              <w:bottom w:val="single" w:sz="4" w:space="0" w:color="000000"/>
              <w:right w:val="single" w:sz="4" w:space="0" w:color="auto"/>
            </w:tcBorders>
            <w:vAlign w:val="center"/>
          </w:tcPr>
          <w:p/>
        </w:tc>
        <w:tc>
          <w:tcPr>
            <w:tcW w:w="385" w:type="dxa"/>
            <w:vMerge/>
            <w:tcBorders>
              <w:left w:val="single" w:sz="4" w:space="0" w:color="auto"/>
              <w:bottom w:val="single" w:sz="4" w:space="0" w:color="000000"/>
              <w:right w:val="single" w:sz="4" w:space="0" w:color="auto"/>
            </w:tcBorders>
          </w:tcPr>
          <w:p/>
        </w:tc>
      </w:tr>
      <w:tr>
        <w:tc>
          <w:tcPr>
            <w:tcW w:w="656"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投入</w:t>
            </w:r>
          </w:p>
          <w:p>
            <w:pPr>
              <w:widowControl/>
              <w:spacing w:line="280" w:lineRule="exact"/>
              <w:jc w:val="center"/>
              <w:rPr>
                <w:rFonts w:ascii="宋体"/>
                <w:color w:val="000000"/>
                <w:kern w:val="0"/>
                <w:sz w:val="24"/>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项目立项</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12</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项目立项规范性</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项目的申请、设立过程是否符合相关要求，用以反映和考核项目立项的规范情况。</w:t>
            </w: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r>
              <w:rPr>
                <w:rFonts w:ascii="宋体"/>
                <w:color w:val="000000"/>
                <w:kern w:val="0"/>
                <w:sz w:val="24"/>
              </w:rPr>
              <w:t>4</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①项目是否按照规定的程序申请设立；</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②所提交的文件、材料是否符合相关要求；</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rPr>
          <w:trHeight w:val="948"/>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③事前是否已经过必要的可行性研究、专家论证、风险评估、集体决策等。</w:t>
            </w:r>
          </w:p>
        </w:tc>
        <w:tc>
          <w:tcPr>
            <w:tcW w:w="385" w:type="dxa"/>
            <w:tcBorders>
              <w:top w:val="nil"/>
              <w:left w:val="nil"/>
              <w:bottom w:val="single" w:sz="4" w:space="0" w:color="auto"/>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绩效目标合理性</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r>
              <w:rPr>
                <w:rFonts w:ascii="宋体"/>
                <w:color w:val="000000"/>
                <w:kern w:val="0"/>
                <w:sz w:val="24"/>
              </w:rPr>
              <w:t>4</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①是否符合国家相关法律法规，国民经济发展规划和党委政府决策；</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②是否与项目实施单位或委托单位职责密切相关；</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③项目是否为促进事业发展所必需；</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rPr>
          <w:trHeight w:val="826"/>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④项目预期产出效益和效果是否符合正常的业绩水平。</w:t>
            </w:r>
          </w:p>
        </w:tc>
        <w:tc>
          <w:tcPr>
            <w:tcW w:w="385" w:type="dxa"/>
            <w:tcBorders>
              <w:top w:val="nil"/>
              <w:left w:val="nil"/>
              <w:bottom w:val="single" w:sz="4" w:space="0" w:color="auto"/>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绩效指标明确性</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r>
              <w:rPr>
                <w:rFonts w:ascii="宋体"/>
                <w:color w:val="000000"/>
                <w:kern w:val="0"/>
                <w:sz w:val="24"/>
              </w:rPr>
              <w:t>3</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①是否将项目绩效目标细化分解为具体的绩效指标；</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②是否通过清晰、可衡量的指标值予以体现；</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③是否与项目年度任务教或计划数相对应；</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rPr>
          <w:trHeight w:val="675"/>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④是否与预期确定的项目投资额或资金量相匹配。</w:t>
            </w:r>
          </w:p>
        </w:tc>
        <w:tc>
          <w:tcPr>
            <w:tcW w:w="385" w:type="dxa"/>
            <w:tcBorders>
              <w:top w:val="nil"/>
              <w:left w:val="nil"/>
              <w:bottom w:val="single" w:sz="4" w:space="0" w:color="auto"/>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资金落实</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资金到位率（</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资金到位率</w:t>
            </w:r>
            <w:r>
              <w:rPr>
                <w:rFonts w:ascii="仿宋_GB2312" w:eastAsia="仿宋_GB2312"/>
                <w:color w:val="000000"/>
                <w:kern w:val="0"/>
                <w:sz w:val="20"/>
                <w:szCs w:val="20"/>
              </w:rPr>
              <w:t>=</w:t>
            </w:r>
            <w:r>
              <w:rPr>
                <w:rFonts w:ascii="仿宋_GB2312" w:eastAsia="仿宋_GB2312" w:hint="eastAsia"/>
                <w:color w:val="000000"/>
                <w:kern w:val="0"/>
                <w:sz w:val="20"/>
                <w:szCs w:val="20"/>
              </w:rPr>
              <w:t>（实际到位资金</w:t>
            </w:r>
            <w:r>
              <w:rPr>
                <w:rFonts w:ascii="仿宋_GB2312" w:eastAsia="仿宋_GB2312"/>
                <w:color w:val="000000"/>
                <w:kern w:val="0"/>
                <w:sz w:val="20"/>
                <w:szCs w:val="20"/>
              </w:rPr>
              <w:t>/</w:t>
            </w:r>
            <w:r>
              <w:rPr>
                <w:rFonts w:ascii="仿宋_GB2312" w:eastAsia="仿宋_GB2312" w:hint="eastAsia"/>
                <w:color w:val="000000"/>
                <w:kern w:val="0"/>
                <w:sz w:val="20"/>
                <w:szCs w:val="20"/>
              </w:rPr>
              <w:t>计划投入资金）×</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r>
              <w:rPr>
                <w:rFonts w:ascii="宋体"/>
                <w:color w:val="000000"/>
                <w:kern w:val="0"/>
                <w:sz w:val="24"/>
              </w:rPr>
              <w:t>4</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实际到位资金：一定时期（本年度或项目期）内实际落实到具体项目的资金。</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rPr>
          <w:trHeight w:val="1122"/>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计划投入资金：一定时期（本年度或项目期）内计划投入到具体项目的资金。</w:t>
            </w:r>
          </w:p>
        </w:tc>
        <w:tc>
          <w:tcPr>
            <w:tcW w:w="385" w:type="dxa"/>
            <w:tcBorders>
              <w:top w:val="nil"/>
              <w:left w:val="nil"/>
              <w:bottom w:val="single" w:sz="4" w:space="0" w:color="auto"/>
              <w:right w:val="single" w:sz="4" w:space="0" w:color="auto"/>
            </w:tcBorders>
          </w:tcPr>
          <w:p>
            <w:pPr>
              <w:widowControl/>
              <w:spacing w:line="280" w:lineRule="exact"/>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到位及时率（</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到位及时率＝（及时到位资金</w:t>
            </w:r>
            <w:r>
              <w:rPr>
                <w:rFonts w:ascii="仿宋_GB2312" w:eastAsia="仿宋_GB2312"/>
                <w:color w:val="000000"/>
                <w:kern w:val="0"/>
                <w:sz w:val="20"/>
                <w:szCs w:val="20"/>
              </w:rPr>
              <w:t>/</w:t>
            </w:r>
            <w:r>
              <w:rPr>
                <w:rFonts w:ascii="仿宋_GB2312" w:eastAsia="仿宋_GB2312" w:hint="eastAsia"/>
                <w:color w:val="000000"/>
                <w:kern w:val="0"/>
                <w:sz w:val="20"/>
                <w:szCs w:val="20"/>
              </w:rPr>
              <w:t>应到位资金）×</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r>
              <w:rPr>
                <w:rFonts w:ascii="宋体"/>
                <w:color w:val="000000"/>
                <w:kern w:val="0"/>
                <w:sz w:val="24"/>
              </w:rPr>
              <w:t>4</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及时到位资金：截至规定时点实际落实到具体项目的资金。</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rPr>
          <w:trHeight w:val="1091"/>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应到位资金：按照合同或项目进度要求截至规定时点应落实到具体项目的资金。</w:t>
            </w:r>
          </w:p>
        </w:tc>
        <w:tc>
          <w:tcPr>
            <w:tcW w:w="385" w:type="dxa"/>
            <w:tcBorders>
              <w:top w:val="nil"/>
              <w:left w:val="nil"/>
              <w:bottom w:val="single" w:sz="4" w:space="0" w:color="auto"/>
              <w:right w:val="single" w:sz="4" w:space="0" w:color="auto"/>
            </w:tcBorders>
          </w:tcPr>
          <w:p>
            <w:pPr>
              <w:widowControl/>
              <w:spacing w:line="280" w:lineRule="exact"/>
              <w:rPr>
                <w:rFonts w:ascii="宋体"/>
                <w:color w:val="000000"/>
                <w:kern w:val="0"/>
                <w:sz w:val="24"/>
              </w:rPr>
            </w:pPr>
          </w:p>
        </w:tc>
      </w:tr>
      <w:tr>
        <w:tc>
          <w:tcPr>
            <w:tcW w:w="656" w:type="dxa"/>
            <w:vMerge w:val="restart"/>
            <w:tcBorders>
              <w:top w:val="nil"/>
              <w:left w:val="single" w:sz="4" w:space="0" w:color="auto"/>
              <w:right w:val="single" w:sz="4" w:space="0" w:color="auto"/>
            </w:tcBorders>
            <w:vAlign w:val="center"/>
          </w:tcPr>
          <w:p>
            <w:pPr>
              <w:jc w:val="center"/>
              <w:rPr>
                <w:rFonts w:ascii="仿宋_GB2312" w:eastAsia="仿宋_GB2312"/>
                <w:color w:val="000000"/>
                <w:kern w:val="0"/>
                <w:sz w:val="20"/>
                <w:szCs w:val="20"/>
              </w:rPr>
            </w:pPr>
            <w:r>
              <w:rPr>
                <w:rFonts w:ascii="仿宋_GB2312" w:eastAsia="仿宋_GB2312" w:hint="eastAsia"/>
                <w:color w:val="000000"/>
                <w:kern w:val="0"/>
                <w:sz w:val="20"/>
                <w:szCs w:val="20"/>
              </w:rPr>
              <w:t>过程</w:t>
            </w:r>
          </w:p>
          <w:p>
            <w:pPr>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710" w:type="dxa"/>
            <w:vMerge w:val="restart"/>
            <w:tcBorders>
              <w:top w:val="nil"/>
              <w:left w:val="single" w:sz="4" w:space="0" w:color="auto"/>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业务管理</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10</w:t>
            </w:r>
            <w:r>
              <w:rPr>
                <w:rFonts w:ascii="仿宋_GB2312" w:eastAsia="仿宋_GB2312" w:hint="eastAsia"/>
                <w:color w:val="000000"/>
                <w:kern w:val="0"/>
                <w:sz w:val="20"/>
                <w:szCs w:val="20"/>
              </w:rPr>
              <w:t>分）</w:t>
            </w:r>
          </w:p>
          <w:p>
            <w:pPr>
              <w:jc w:val="left"/>
              <w:rPr>
                <w:rFonts w:ascii="仿宋_GB2312" w:eastAsia="仿宋_GB2312"/>
                <w:color w:val="000000"/>
                <w:kern w:val="0"/>
                <w:sz w:val="20"/>
                <w:szCs w:val="20"/>
              </w:rPr>
            </w:pPr>
          </w:p>
        </w:tc>
        <w:tc>
          <w:tcPr>
            <w:tcW w:w="1275"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管理制度健全</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①是否已制定或具有相应的业务管理制度；</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rPr>
          <w:trHeight w:val="633"/>
        </w:trP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②业务管理制度是否合法、合规、完整。</w:t>
            </w:r>
          </w:p>
        </w:tc>
        <w:tc>
          <w:tcPr>
            <w:tcW w:w="385" w:type="dxa"/>
            <w:tcBorders>
              <w:top w:val="nil"/>
              <w:left w:val="nil"/>
              <w:bottom w:val="single" w:sz="4" w:space="0" w:color="auto"/>
              <w:right w:val="single" w:sz="4" w:space="0" w:color="auto"/>
            </w:tcBorders>
          </w:tcPr>
          <w:p>
            <w:pPr>
              <w:widowControl/>
              <w:spacing w:line="280" w:lineRule="exact"/>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制度执行有效性</w:t>
            </w:r>
          </w:p>
          <w:p>
            <w:pPr>
              <w:widowControl/>
              <w:spacing w:line="280" w:lineRule="exact"/>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r>
              <w:rPr>
                <w:rFonts w:ascii="宋体"/>
                <w:color w:val="000000"/>
                <w:kern w:val="0"/>
                <w:sz w:val="24"/>
              </w:rPr>
              <w:t>2</w:t>
            </w:r>
          </w:p>
        </w:tc>
      </w:tr>
      <w:t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①是否遵守相关法律法规和业务管理规定；</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②项目调整及支出调整手续是否完备；</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③项目合同书、验收报告、技术审定等资料是否齐全并及时归档</w:t>
            </w:r>
            <w:r>
              <w:rPr>
                <w:rFonts w:ascii="仿宋_GB2312" w:eastAsia="仿宋_GB2312"/>
                <w:color w:val="000000"/>
                <w:kern w:val="0"/>
                <w:sz w:val="20"/>
                <w:szCs w:val="20"/>
              </w:rPr>
              <w:t>;</w:t>
            </w:r>
          </w:p>
        </w:tc>
        <w:tc>
          <w:tcPr>
            <w:tcW w:w="385" w:type="dxa"/>
            <w:tcBorders>
              <w:top w:val="nil"/>
              <w:left w:val="nil"/>
              <w:bottom w:val="nil"/>
              <w:right w:val="single" w:sz="4" w:space="0" w:color="auto"/>
            </w:tcBorders>
          </w:tcPr>
          <w:p>
            <w:pPr>
              <w:widowControl/>
              <w:spacing w:line="280" w:lineRule="exact"/>
              <w:rPr>
                <w:rFonts w:ascii="宋体"/>
                <w:color w:val="000000"/>
                <w:kern w:val="0"/>
                <w:sz w:val="24"/>
              </w:rPr>
            </w:pPr>
          </w:p>
        </w:tc>
      </w:tr>
      <w:tr>
        <w:trPr>
          <w:trHeight w:val="1103"/>
        </w:trP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spacing w:line="280" w:lineRule="exact"/>
              <w:rPr>
                <w:rFonts w:ascii="仿宋_GB2312" w:eastAsia="仿宋_GB2312"/>
                <w:color w:val="000000"/>
                <w:kern w:val="0"/>
                <w:sz w:val="20"/>
                <w:szCs w:val="20"/>
              </w:rPr>
            </w:pPr>
            <w:r>
              <w:rPr>
                <w:rFonts w:ascii="仿宋_GB2312" w:eastAsia="仿宋_GB2312" w:hint="eastAsia"/>
                <w:color w:val="000000"/>
                <w:kern w:val="0"/>
                <w:sz w:val="20"/>
                <w:szCs w:val="20"/>
              </w:rPr>
              <w:t>④项目实施的人员条件、场地设备，信息支撑等是否落实到位。</w:t>
            </w:r>
          </w:p>
        </w:tc>
        <w:tc>
          <w:tcPr>
            <w:tcW w:w="385" w:type="dxa"/>
            <w:tcBorders>
              <w:top w:val="nil"/>
              <w:left w:val="nil"/>
              <w:bottom w:val="single" w:sz="4" w:space="0" w:color="auto"/>
              <w:right w:val="single" w:sz="4" w:space="0" w:color="auto"/>
            </w:tcBorders>
          </w:tcPr>
          <w:p>
            <w:pPr>
              <w:widowControl/>
              <w:spacing w:line="280" w:lineRule="exact"/>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项目质量可控性</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rPr>
                <w:rFonts w:ascii="宋体"/>
                <w:color w:val="000000"/>
                <w:kern w:val="0"/>
                <w:sz w:val="24"/>
              </w:rPr>
            </w:pPr>
            <w:r>
              <w:rPr>
                <w:rFonts w:ascii="宋体"/>
                <w:color w:val="000000"/>
                <w:kern w:val="0"/>
                <w:sz w:val="24"/>
              </w:rPr>
              <w:t>2</w:t>
            </w:r>
          </w:p>
        </w:tc>
      </w:tr>
      <w:tr>
        <w:tc>
          <w:tcPr>
            <w:tcW w:w="656" w:type="dxa"/>
            <w:vMerge/>
            <w:tcBorders>
              <w:left w:val="single" w:sz="4" w:space="0" w:color="auto"/>
              <w:right w:val="single" w:sz="4" w:space="0" w:color="auto"/>
            </w:tcBorders>
            <w:vAlign w:val="center"/>
          </w:tcPr>
          <w:p/>
        </w:tc>
        <w:tc>
          <w:tcPr>
            <w:tcW w:w="710" w:type="dxa"/>
            <w:vMerge/>
            <w:tcBorders>
              <w:left w:val="single" w:sz="4" w:space="0" w:color="auto"/>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①是否已制定或其有相应的项目质量要求或标准；</w:t>
            </w:r>
          </w:p>
        </w:tc>
        <w:tc>
          <w:tcPr>
            <w:tcW w:w="385" w:type="dxa"/>
            <w:tcBorders>
              <w:top w:val="nil"/>
              <w:left w:val="nil"/>
              <w:bottom w:val="nil"/>
              <w:right w:val="single" w:sz="4" w:space="0" w:color="auto"/>
            </w:tcBorders>
          </w:tcPr>
          <w:p>
            <w:pPr>
              <w:widowControl/>
              <w:rPr>
                <w:rFonts w:ascii="宋体"/>
                <w:color w:val="000000"/>
                <w:kern w:val="0"/>
                <w:sz w:val="24"/>
              </w:rPr>
            </w:pPr>
          </w:p>
        </w:tc>
      </w:tr>
      <w:tr>
        <w:trPr>
          <w:trHeight w:val="1194"/>
        </w:trPr>
        <w:tc>
          <w:tcPr>
            <w:tcW w:w="656" w:type="dxa"/>
            <w:vMerge/>
            <w:tcBorders>
              <w:left w:val="single" w:sz="4" w:space="0" w:color="auto"/>
              <w:right w:val="single" w:sz="4" w:space="0" w:color="auto"/>
            </w:tcBorders>
            <w:vAlign w:val="center"/>
          </w:tcPr>
          <w:p/>
        </w:tc>
        <w:tc>
          <w:tcPr>
            <w:tcW w:w="710" w:type="dxa"/>
            <w:vMerge/>
            <w:tcBorders>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②是否采取了相应的项目质量检查、验收等必需的控制措施或手段。</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财务管理</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管理制度健全性</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5</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jc w:val="left"/>
              <w:rPr>
                <w:rFonts w:ascii="宋体"/>
                <w:color w:val="000000"/>
                <w:kern w:val="0"/>
                <w:sz w:val="24"/>
              </w:rPr>
            </w:pPr>
            <w:r>
              <w:rPr>
                <w:rFonts w:ascii="宋体"/>
                <w:color w:val="000000"/>
                <w:kern w:val="0"/>
                <w:sz w:val="24"/>
              </w:rPr>
              <w:t>3</w:t>
            </w:r>
          </w:p>
        </w:tc>
      </w:tr>
      <w:t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①是否已制定或具有相应的项目资金管理办法；</w:t>
            </w:r>
          </w:p>
        </w:tc>
        <w:tc>
          <w:tcPr>
            <w:tcW w:w="385" w:type="dxa"/>
            <w:tcBorders>
              <w:top w:val="nil"/>
              <w:left w:val="nil"/>
              <w:bottom w:val="nil"/>
              <w:right w:val="single" w:sz="4" w:space="0" w:color="auto"/>
            </w:tcBorders>
          </w:tcPr>
          <w:p>
            <w:pPr>
              <w:widowControl/>
              <w:jc w:val="left"/>
              <w:rPr>
                <w:rFonts w:ascii="宋体"/>
                <w:color w:val="000000"/>
                <w:kern w:val="0"/>
                <w:sz w:val="24"/>
              </w:rPr>
            </w:pPr>
          </w:p>
        </w:tc>
      </w:tr>
      <w:tr>
        <w:trPr>
          <w:trHeight w:val="866"/>
        </w:trP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②项目资金管理办法是否符合相关财务会计制度的规定。</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资金使用合规性</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rPr>
                <w:rFonts w:ascii="宋体"/>
                <w:color w:val="000000"/>
                <w:kern w:val="0"/>
                <w:sz w:val="24"/>
              </w:rPr>
            </w:pPr>
            <w:r>
              <w:rPr>
                <w:rFonts w:ascii="宋体"/>
                <w:color w:val="000000"/>
                <w:kern w:val="0"/>
                <w:sz w:val="24"/>
              </w:rPr>
              <w:t>5</w:t>
            </w:r>
          </w:p>
        </w:tc>
      </w:tr>
      <w:t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①是否符合国家财经法规和财务管理以及有关专项资金管理办法的规定；</w:t>
            </w:r>
          </w:p>
        </w:tc>
        <w:tc>
          <w:tcPr>
            <w:tcW w:w="385" w:type="dxa"/>
            <w:tcBorders>
              <w:top w:val="nil"/>
              <w:left w:val="nil"/>
              <w:bottom w:val="nil"/>
              <w:right w:val="single" w:sz="4" w:space="0" w:color="auto"/>
            </w:tcBorders>
          </w:tcPr>
          <w:p>
            <w:pPr>
              <w:widowControl/>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②资金的拨付是否有完整的审批程序和手续；</w:t>
            </w:r>
          </w:p>
        </w:tc>
        <w:tc>
          <w:tcPr>
            <w:tcW w:w="385" w:type="dxa"/>
            <w:tcBorders>
              <w:top w:val="nil"/>
              <w:left w:val="nil"/>
              <w:bottom w:val="nil"/>
              <w:right w:val="single" w:sz="4" w:space="0" w:color="auto"/>
            </w:tcBorders>
          </w:tcPr>
          <w:p>
            <w:pPr>
              <w:widowControl/>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③项目的重大开支是否经过评估认证；</w:t>
            </w:r>
          </w:p>
        </w:tc>
        <w:tc>
          <w:tcPr>
            <w:tcW w:w="385" w:type="dxa"/>
            <w:tcBorders>
              <w:top w:val="nil"/>
              <w:left w:val="nil"/>
              <w:bottom w:val="nil"/>
              <w:right w:val="single" w:sz="4" w:space="0" w:color="auto"/>
            </w:tcBorders>
          </w:tcPr>
          <w:p>
            <w:pPr>
              <w:widowControl/>
              <w:rPr>
                <w:rFonts w:ascii="宋体"/>
                <w:color w:val="000000"/>
                <w:kern w:val="0"/>
                <w:sz w:val="24"/>
              </w:rPr>
            </w:pPr>
          </w:p>
        </w:tc>
      </w:tr>
      <w:t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④是否符合项目预算批复或合同规定的用途；</w:t>
            </w:r>
          </w:p>
        </w:tc>
        <w:tc>
          <w:tcPr>
            <w:tcW w:w="385" w:type="dxa"/>
            <w:tcBorders>
              <w:top w:val="nil"/>
              <w:left w:val="nil"/>
              <w:bottom w:val="nil"/>
              <w:right w:val="single" w:sz="4" w:space="0" w:color="auto"/>
            </w:tcBorders>
          </w:tcPr>
          <w:p>
            <w:pPr>
              <w:widowControl/>
              <w:rPr>
                <w:rFonts w:ascii="宋体"/>
                <w:color w:val="000000"/>
                <w:kern w:val="0"/>
                <w:sz w:val="24"/>
              </w:rPr>
            </w:pPr>
          </w:p>
        </w:tc>
      </w:tr>
      <w:tr>
        <w:trPr>
          <w:trHeight w:val="1027"/>
        </w:trP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⑤是否存在截留、挤占、挪用、虚列支出等情况。</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rPr>
          <w:trHeight w:val="377"/>
        </w:trP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财务监控有效性</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评价要点：</w:t>
            </w:r>
          </w:p>
        </w:tc>
        <w:tc>
          <w:tcPr>
            <w:tcW w:w="385" w:type="dxa"/>
            <w:tcBorders>
              <w:top w:val="nil"/>
              <w:left w:val="nil"/>
              <w:bottom w:val="nil"/>
              <w:right w:val="single" w:sz="4" w:space="0" w:color="auto"/>
            </w:tcBorders>
          </w:tcPr>
          <w:p>
            <w:pPr>
              <w:widowControl/>
              <w:jc w:val="left"/>
              <w:rPr>
                <w:rFonts w:ascii="宋体"/>
                <w:color w:val="000000"/>
                <w:kern w:val="0"/>
                <w:sz w:val="24"/>
              </w:rPr>
            </w:pPr>
            <w:r>
              <w:rPr>
                <w:rFonts w:ascii="宋体"/>
                <w:color w:val="000000"/>
                <w:kern w:val="0"/>
                <w:sz w:val="24"/>
              </w:rPr>
              <w:t>0</w:t>
            </w:r>
          </w:p>
        </w:tc>
      </w:tr>
      <w:tr>
        <w:tc>
          <w:tcPr>
            <w:tcW w:w="656" w:type="dxa"/>
            <w:vMerge/>
            <w:tcBorders>
              <w:left w:val="single" w:sz="4" w:space="0" w:color="auto"/>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①是否已制定或具有相应的监控机制；</w:t>
            </w:r>
          </w:p>
        </w:tc>
        <w:tc>
          <w:tcPr>
            <w:tcW w:w="385" w:type="dxa"/>
            <w:tcBorders>
              <w:top w:val="nil"/>
              <w:left w:val="nil"/>
              <w:bottom w:val="nil"/>
              <w:right w:val="single" w:sz="4" w:space="0" w:color="auto"/>
            </w:tcBorders>
          </w:tcPr>
          <w:p>
            <w:pPr>
              <w:widowControl/>
              <w:jc w:val="left"/>
              <w:rPr>
                <w:rFonts w:ascii="宋体"/>
                <w:color w:val="000000"/>
                <w:kern w:val="0"/>
                <w:sz w:val="24"/>
              </w:rPr>
            </w:pPr>
          </w:p>
        </w:tc>
      </w:tr>
      <w:tr>
        <w:trPr>
          <w:trHeight w:val="1519"/>
        </w:trPr>
        <w:tc>
          <w:tcPr>
            <w:tcW w:w="656" w:type="dxa"/>
            <w:vMerge/>
            <w:tcBorders>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②是否采取了相应的财务检查等必要的监控措施或手段。</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c>
          <w:tcPr>
            <w:tcW w:w="656"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产出</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710"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项目产出</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30</w:t>
            </w:r>
            <w:r>
              <w:rPr>
                <w:rFonts w:ascii="仿宋_GB2312" w:eastAsia="仿宋_GB2312" w:hint="eastAsia"/>
                <w:color w:val="000000"/>
                <w:kern w:val="0"/>
                <w:sz w:val="20"/>
                <w:szCs w:val="20"/>
              </w:rPr>
              <w:t>分）</w:t>
            </w: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实际完成率（</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实际完成率＝（实际产出数</w:t>
            </w:r>
            <w:r>
              <w:rPr>
                <w:rFonts w:ascii="仿宋_GB2312" w:eastAsia="仿宋_GB2312"/>
                <w:color w:val="000000"/>
                <w:kern w:val="0"/>
                <w:sz w:val="20"/>
                <w:szCs w:val="20"/>
              </w:rPr>
              <w:t>/</w:t>
            </w:r>
            <w:r>
              <w:rPr>
                <w:rFonts w:ascii="仿宋_GB2312" w:eastAsia="仿宋_GB2312" w:hint="eastAsia"/>
                <w:color w:val="000000"/>
                <w:kern w:val="0"/>
                <w:sz w:val="20"/>
                <w:szCs w:val="20"/>
              </w:rPr>
              <w:t>计划产出数）×</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pPr>
              <w:widowControl/>
              <w:jc w:val="left"/>
              <w:rPr>
                <w:rFonts w:ascii="宋体"/>
                <w:color w:val="000000"/>
                <w:kern w:val="0"/>
                <w:sz w:val="24"/>
              </w:rPr>
            </w:pPr>
            <w:r>
              <w:rPr>
                <w:rFonts w:ascii="宋体"/>
                <w:color w:val="000000"/>
                <w:kern w:val="0"/>
                <w:sz w:val="24"/>
              </w:rPr>
              <w:t>7</w:t>
            </w:r>
          </w:p>
        </w:tc>
      </w:tr>
      <w:tr>
        <w:trPr>
          <w:trHeight w:val="568"/>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实际产出数：一定时期（本年度或项目期）内项目实际产出的产品或提供的服务数。</w:t>
            </w:r>
          </w:p>
        </w:tc>
        <w:tc>
          <w:tcPr>
            <w:tcW w:w="385" w:type="dxa"/>
            <w:tcBorders>
              <w:top w:val="nil"/>
              <w:left w:val="nil"/>
              <w:bottom w:val="nil"/>
              <w:right w:val="single" w:sz="4" w:space="0" w:color="auto"/>
            </w:tcBorders>
          </w:tcPr>
          <w:p>
            <w:pPr>
              <w:widowControl/>
              <w:jc w:val="left"/>
              <w:rPr>
                <w:rFonts w:ascii="宋体"/>
                <w:color w:val="000000"/>
                <w:kern w:val="0"/>
                <w:sz w:val="24"/>
              </w:rPr>
            </w:pPr>
          </w:p>
        </w:tc>
      </w:tr>
      <w:tr>
        <w:trPr>
          <w:trHeight w:val="822"/>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完成及时率</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7</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完成及时率</w:t>
            </w:r>
            <w:r>
              <w:rPr>
                <w:rFonts w:ascii="仿宋_GB2312" w:eastAsia="仿宋_GB2312"/>
                <w:color w:val="000000"/>
                <w:kern w:val="0"/>
                <w:sz w:val="20"/>
                <w:szCs w:val="20"/>
              </w:rPr>
              <w:t>[ (</w:t>
            </w:r>
            <w:r>
              <w:rPr>
                <w:rFonts w:ascii="仿宋_GB2312" w:eastAsia="仿宋_GB2312" w:hint="eastAsia"/>
                <w:color w:val="000000"/>
                <w:kern w:val="0"/>
                <w:sz w:val="20"/>
                <w:szCs w:val="20"/>
              </w:rPr>
              <w:t>计划完成时间</w:t>
            </w:r>
            <w:r>
              <w:rPr>
                <w:rFonts w:ascii="仿宋_GB2312" w:eastAsia="仿宋_GB2312"/>
                <w:color w:val="000000"/>
                <w:kern w:val="0"/>
                <w:sz w:val="20"/>
                <w:szCs w:val="20"/>
              </w:rPr>
              <w:t>-</w:t>
            </w:r>
            <w:r>
              <w:rPr>
                <w:rFonts w:ascii="仿宋_GB2312" w:eastAsia="仿宋_GB2312" w:hint="eastAsia"/>
                <w:color w:val="000000"/>
                <w:kern w:val="0"/>
                <w:sz w:val="20"/>
                <w:szCs w:val="20"/>
              </w:rPr>
              <w:t>实际完成时间）</w:t>
            </w:r>
            <w:r>
              <w:rPr>
                <w:rFonts w:ascii="仿宋_GB2312" w:eastAsia="仿宋_GB2312"/>
                <w:color w:val="000000"/>
                <w:kern w:val="0"/>
                <w:sz w:val="20"/>
                <w:szCs w:val="20"/>
              </w:rPr>
              <w:t>/</w:t>
            </w:r>
            <w:r>
              <w:rPr>
                <w:rFonts w:ascii="仿宋_GB2312" w:eastAsia="仿宋_GB2312" w:hint="eastAsia"/>
                <w:color w:val="000000"/>
                <w:kern w:val="0"/>
                <w:sz w:val="20"/>
                <w:szCs w:val="20"/>
              </w:rPr>
              <w:t>计划完成时间</w:t>
            </w:r>
            <w:r>
              <w:rPr>
                <w:rFonts w:ascii="仿宋_GB2312" w:eastAsia="仿宋_GB2312"/>
                <w:color w:val="000000"/>
                <w:kern w:val="0"/>
                <w:sz w:val="20"/>
                <w:szCs w:val="20"/>
              </w:rPr>
              <w:t>]</w:t>
            </w:r>
            <w:r>
              <w:rPr>
                <w:rFonts w:ascii="宋体" w:eastAsia="仿宋_GB2312" w:hAnsi="宋体"/>
                <w:color w:val="000000"/>
                <w:kern w:val="0"/>
                <w:sz w:val="20"/>
                <w:szCs w:val="20"/>
              </w:rPr>
              <w:t> </w:t>
            </w:r>
            <w:r>
              <w:rPr>
                <w:rFonts w:ascii="仿宋_GB2312" w:eastAsia="仿宋_GB2312" w:hint="eastAsia"/>
                <w:color w:val="000000"/>
                <w:kern w:val="0"/>
                <w:sz w:val="20"/>
                <w:szCs w:val="20"/>
              </w:rPr>
              <w:t>×</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pPr>
              <w:widowControl/>
              <w:jc w:val="left"/>
              <w:rPr>
                <w:rFonts w:ascii="宋体"/>
                <w:color w:val="000000"/>
                <w:kern w:val="0"/>
                <w:sz w:val="24"/>
              </w:rPr>
            </w:pPr>
            <w:r>
              <w:rPr>
                <w:rFonts w:ascii="宋体"/>
                <w:color w:val="000000"/>
                <w:kern w:val="0"/>
                <w:sz w:val="24"/>
              </w:rPr>
              <w:t>7</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实际完成时间：项目实施单位完成该项目实际所耗用的时间。</w:t>
            </w:r>
          </w:p>
        </w:tc>
        <w:tc>
          <w:tcPr>
            <w:tcW w:w="385" w:type="dxa"/>
            <w:tcBorders>
              <w:top w:val="nil"/>
              <w:left w:val="nil"/>
              <w:bottom w:val="nil"/>
              <w:right w:val="single" w:sz="4" w:space="0" w:color="auto"/>
            </w:tcBorders>
          </w:tcPr>
          <w:p>
            <w:pPr>
              <w:widowControl/>
              <w:jc w:val="left"/>
              <w:rPr>
                <w:rFonts w:ascii="宋体"/>
                <w:color w:val="000000"/>
                <w:kern w:val="0"/>
                <w:sz w:val="24"/>
              </w:rPr>
            </w:pPr>
          </w:p>
        </w:tc>
      </w:tr>
      <w:tr>
        <w:trPr>
          <w:trHeight w:val="516"/>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计划完成时间：按照项目实施计划或相关规定完成该项目所需的时间。</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质量达标率</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质量达标率＝（质量达标产出数</w:t>
            </w:r>
            <w:r>
              <w:rPr>
                <w:rFonts w:ascii="仿宋_GB2312" w:eastAsia="仿宋_GB2312"/>
                <w:color w:val="000000"/>
                <w:kern w:val="0"/>
                <w:sz w:val="20"/>
                <w:szCs w:val="20"/>
              </w:rPr>
              <w:t>/</w:t>
            </w:r>
            <w:r>
              <w:rPr>
                <w:rFonts w:ascii="仿宋_GB2312" w:eastAsia="仿宋_GB2312" w:hint="eastAsia"/>
                <w:color w:val="000000"/>
                <w:kern w:val="0"/>
                <w:sz w:val="20"/>
                <w:szCs w:val="20"/>
              </w:rPr>
              <w:t>实际产出数）</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pPr>
              <w:widowControl/>
              <w:jc w:val="left"/>
              <w:rPr>
                <w:rFonts w:ascii="宋体"/>
                <w:color w:val="000000"/>
                <w:kern w:val="0"/>
                <w:sz w:val="24"/>
              </w:rPr>
            </w:pPr>
            <w:r>
              <w:rPr>
                <w:rFonts w:ascii="宋体"/>
                <w:color w:val="000000"/>
                <w:kern w:val="0"/>
                <w:sz w:val="24"/>
              </w:rPr>
              <w:t>8</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sz="4" w:space="0" w:color="auto"/>
            </w:tcBorders>
          </w:tcPr>
          <w:p>
            <w:pPr>
              <w:widowControl/>
              <w:jc w:val="left"/>
              <w:rPr>
                <w:rFonts w:ascii="宋体"/>
                <w:color w:val="000000"/>
                <w:kern w:val="0"/>
                <w:sz w:val="24"/>
              </w:rPr>
            </w:pPr>
          </w:p>
        </w:tc>
      </w:tr>
      <w:tr>
        <w:trPr>
          <w:trHeight w:hRule="exact" w:val="1006"/>
        </w:trP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val="restart"/>
            <w:tcBorders>
              <w:top w:val="nil"/>
              <w:left w:val="single" w:sz="4" w:space="0" w:color="auto"/>
              <w:bottom w:val="single" w:sz="4" w:space="0" w:color="000000"/>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成本节约率</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8</w:t>
            </w:r>
            <w:r>
              <w:rPr>
                <w:rFonts w:ascii="仿宋_GB2312" w:eastAsia="仿宋_GB2312" w:hint="eastAsia"/>
                <w:color w:val="000000"/>
                <w:kern w:val="0"/>
                <w:sz w:val="20"/>
                <w:szCs w:val="20"/>
              </w:rPr>
              <w:t>分）</w:t>
            </w:r>
          </w:p>
        </w:tc>
        <w:tc>
          <w:tcPr>
            <w:tcW w:w="3080" w:type="dxa"/>
            <w:vMerge w:val="restart"/>
            <w:tcBorders>
              <w:top w:val="nil"/>
              <w:left w:val="single" w:sz="4" w:space="0" w:color="auto"/>
              <w:bottom w:val="single" w:sz="4" w:space="0" w:color="000000"/>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成本节约率＝</w:t>
            </w:r>
            <w:r>
              <w:rPr>
                <w:rFonts w:ascii="仿宋_GB2312" w:eastAsia="仿宋_GB2312"/>
                <w:color w:val="000000"/>
                <w:kern w:val="0"/>
                <w:sz w:val="20"/>
                <w:szCs w:val="20"/>
              </w:rPr>
              <w:t>(</w:t>
            </w:r>
            <w:r>
              <w:rPr>
                <w:rFonts w:ascii="仿宋_GB2312" w:eastAsia="仿宋_GB2312" w:hint="eastAsia"/>
                <w:color w:val="000000"/>
                <w:kern w:val="0"/>
                <w:sz w:val="20"/>
                <w:szCs w:val="20"/>
              </w:rPr>
              <w:t>计划成本</w:t>
            </w:r>
            <w:r>
              <w:rPr>
                <w:rFonts w:ascii="仿宋_GB2312" w:eastAsia="仿宋_GB2312"/>
                <w:color w:val="000000"/>
                <w:kern w:val="0"/>
                <w:sz w:val="20"/>
                <w:szCs w:val="20"/>
              </w:rPr>
              <w:t>-</w:t>
            </w:r>
            <w:r>
              <w:rPr>
                <w:rFonts w:ascii="仿宋_GB2312" w:eastAsia="仿宋_GB2312" w:hint="eastAsia"/>
                <w:color w:val="000000"/>
                <w:kern w:val="0"/>
                <w:sz w:val="20"/>
                <w:szCs w:val="20"/>
              </w:rPr>
              <w:t>实际成本</w:t>
            </w:r>
            <w:r>
              <w:rPr>
                <w:rFonts w:ascii="仿宋_GB2312" w:eastAsia="仿宋_GB2312"/>
                <w:color w:val="000000"/>
                <w:kern w:val="0"/>
                <w:sz w:val="20"/>
                <w:szCs w:val="20"/>
              </w:rPr>
              <w:t>)</w:t>
            </w:r>
            <w:r>
              <w:rPr>
                <w:rFonts w:ascii="宋体" w:eastAsia="仿宋_GB2312" w:hAnsi="宋体"/>
                <w:color w:val="000000"/>
                <w:kern w:val="0"/>
                <w:sz w:val="20"/>
                <w:szCs w:val="20"/>
              </w:rPr>
              <w:t> </w:t>
            </w:r>
            <w:r>
              <w:rPr>
                <w:rFonts w:ascii="仿宋_GB2312" w:eastAsia="仿宋_GB2312"/>
                <w:color w:val="000000"/>
                <w:kern w:val="0"/>
                <w:sz w:val="20"/>
                <w:szCs w:val="20"/>
              </w:rPr>
              <w:t>/</w:t>
            </w:r>
            <w:r>
              <w:rPr>
                <w:rFonts w:ascii="仿宋_GB2312" w:eastAsia="仿宋_GB2312" w:hint="eastAsia"/>
                <w:color w:val="000000"/>
                <w:kern w:val="0"/>
                <w:sz w:val="20"/>
                <w:szCs w:val="20"/>
              </w:rPr>
              <w:t>计划成本×</w:t>
            </w:r>
            <w:r>
              <w:rPr>
                <w:rFonts w:ascii="仿宋_GB2312" w:eastAsia="仿宋_GB2312"/>
                <w:color w:val="000000"/>
                <w:kern w:val="0"/>
                <w:sz w:val="20"/>
                <w:szCs w:val="20"/>
              </w:rPr>
              <w:t>100%</w:t>
            </w:r>
            <w:r>
              <w:rPr>
                <w:rFonts w:ascii="仿宋_GB2312" w:eastAsia="仿宋_GB2312" w:hint="eastAsia"/>
                <w:color w:val="000000"/>
                <w:kern w:val="0"/>
                <w:sz w:val="20"/>
                <w:szCs w:val="20"/>
              </w:rPr>
              <w:t>。</w:t>
            </w:r>
          </w:p>
        </w:tc>
        <w:tc>
          <w:tcPr>
            <w:tcW w:w="385" w:type="dxa"/>
            <w:tcBorders>
              <w:top w:val="nil"/>
              <w:left w:val="nil"/>
              <w:bottom w:val="nil"/>
              <w:right w:val="single" w:sz="4" w:space="0" w:color="auto"/>
            </w:tcBorders>
          </w:tcPr>
          <w:p>
            <w:pPr>
              <w:widowControl/>
              <w:jc w:val="left"/>
              <w:rPr>
                <w:rFonts w:ascii="宋体"/>
                <w:color w:val="000000"/>
                <w:kern w:val="0"/>
                <w:sz w:val="24"/>
              </w:rPr>
            </w:pPr>
            <w:r>
              <w:rPr>
                <w:rFonts w:ascii="宋体"/>
                <w:color w:val="000000"/>
                <w:kern w:val="0"/>
                <w:sz w:val="24"/>
              </w:rPr>
              <w:t>6</w:t>
            </w:r>
          </w:p>
        </w:tc>
      </w:tr>
      <w:tr>
        <w:tc>
          <w:tcPr>
            <w:tcW w:w="656" w:type="dxa"/>
            <w:vMerge/>
            <w:tcBorders>
              <w:top w:val="nil"/>
              <w:left w:val="single" w:sz="4" w:space="0" w:color="auto"/>
              <w:bottom w:val="single" w:sz="4" w:space="0" w:color="000000"/>
              <w:right w:val="single" w:sz="4" w:space="0" w:color="auto"/>
            </w:tcBorders>
            <w:vAlign w:val="center"/>
          </w:tcPr>
          <w:p/>
        </w:tc>
        <w:tc>
          <w:tcPr>
            <w:tcW w:w="710" w:type="dxa"/>
            <w:vMerge/>
            <w:tcBorders>
              <w:top w:val="nil"/>
              <w:left w:val="single" w:sz="4" w:space="0" w:color="auto"/>
              <w:bottom w:val="single" w:sz="4" w:space="0" w:color="000000"/>
              <w:right w:val="single" w:sz="4" w:space="0" w:color="auto"/>
            </w:tcBorders>
            <w:vAlign w:val="center"/>
          </w:tcPr>
          <w:p/>
        </w:tc>
        <w:tc>
          <w:tcPr>
            <w:tcW w:w="1275" w:type="dxa"/>
            <w:vMerge/>
            <w:tcBorders>
              <w:top w:val="nil"/>
              <w:left w:val="single" w:sz="4" w:space="0" w:color="auto"/>
              <w:bottom w:val="single" w:sz="4" w:space="0" w:color="000000"/>
              <w:right w:val="single" w:sz="4" w:space="0" w:color="auto"/>
            </w:tcBorders>
            <w:vAlign w:val="center"/>
          </w:tcPr>
          <w:p/>
        </w:tc>
        <w:tc>
          <w:tcPr>
            <w:tcW w:w="3080" w:type="dxa"/>
            <w:vMerge/>
            <w:tcBorders>
              <w:top w:val="nil"/>
              <w:left w:val="single" w:sz="4" w:space="0" w:color="auto"/>
              <w:bottom w:val="single" w:sz="4" w:space="0" w:color="000000"/>
              <w:right w:val="single" w:sz="4" w:space="0" w:color="auto"/>
            </w:tcBorders>
            <w:vAlign w:val="center"/>
          </w:tcPr>
          <w:p/>
        </w:tc>
        <w:tc>
          <w:tcPr>
            <w:tcW w:w="4502" w:type="dxa"/>
            <w:tcBorders>
              <w:top w:val="nil"/>
              <w:left w:val="nil"/>
              <w:bottom w:val="nil"/>
              <w:right w:val="single" w:sz="4" w:space="0" w:color="auto"/>
            </w:tcBorders>
            <w:vAlign w:val="center"/>
          </w:tcPr>
          <w:p>
            <w:pPr>
              <w:widowControl/>
              <w:jc w:val="left"/>
              <w:rPr>
                <w:rFonts w:ascii="仿宋_GB2312" w:eastAsia="仿宋_GB2312"/>
                <w:color w:val="000000"/>
                <w:kern w:val="0"/>
                <w:sz w:val="20"/>
                <w:szCs w:val="20"/>
              </w:rPr>
            </w:pPr>
            <w:r>
              <w:rPr>
                <w:rFonts w:ascii="仿宋_GB2312" w:eastAsia="仿宋_GB2312" w:hint="eastAsia"/>
                <w:color w:val="000000"/>
                <w:kern w:val="0"/>
                <w:sz w:val="20"/>
                <w:szCs w:val="20"/>
              </w:rPr>
              <w:t>实际成本：项目实施单位如期、保质、保量完成既定工作目标实际所耗费的支出。</w:t>
            </w:r>
          </w:p>
        </w:tc>
        <w:tc>
          <w:tcPr>
            <w:tcW w:w="385" w:type="dxa"/>
            <w:tcBorders>
              <w:top w:val="nil"/>
              <w:left w:val="nil"/>
              <w:bottom w:val="nil"/>
              <w:right w:val="single" w:sz="4" w:space="0" w:color="auto"/>
            </w:tcBorders>
          </w:tcPr>
          <w:p>
            <w:pPr>
              <w:widowControl/>
              <w:jc w:val="left"/>
              <w:rPr>
                <w:rFonts w:ascii="宋体"/>
                <w:color w:val="000000"/>
                <w:kern w:val="0"/>
                <w:sz w:val="24"/>
              </w:rPr>
            </w:pPr>
          </w:p>
        </w:tc>
      </w:tr>
      <w:tr>
        <w:trPr>
          <w:trHeight w:val="567"/>
        </w:trPr>
        <w:tc>
          <w:tcPr>
            <w:tcW w:w="656" w:type="dxa"/>
            <w:vMerge/>
            <w:tcBorders>
              <w:top w:val="nil"/>
              <w:left w:val="single" w:sz="4" w:space="0" w:color="auto"/>
              <w:bottom w:val="single" w:sz="4" w:space="0" w:color="auto"/>
              <w:right w:val="single" w:sz="4" w:space="0" w:color="auto"/>
            </w:tcBorders>
            <w:vAlign w:val="center"/>
          </w:tcPr>
          <w:p/>
        </w:tc>
        <w:tc>
          <w:tcPr>
            <w:tcW w:w="710" w:type="dxa"/>
            <w:vMerge/>
            <w:tcBorders>
              <w:top w:val="nil"/>
              <w:left w:val="single" w:sz="4" w:space="0" w:color="auto"/>
              <w:bottom w:val="single" w:sz="4" w:space="0" w:color="auto"/>
              <w:right w:val="single" w:sz="4" w:space="0" w:color="auto"/>
            </w:tcBorders>
            <w:vAlign w:val="center"/>
          </w:tcPr>
          <w:p/>
        </w:tc>
        <w:tc>
          <w:tcPr>
            <w:tcW w:w="1275" w:type="dxa"/>
            <w:vMerge/>
            <w:tcBorders>
              <w:top w:val="nil"/>
              <w:left w:val="single" w:sz="4" w:space="0" w:color="auto"/>
              <w:bottom w:val="single" w:sz="4" w:space="0" w:color="auto"/>
              <w:right w:val="single" w:sz="4" w:space="0" w:color="auto"/>
            </w:tcBorders>
            <w:vAlign w:val="center"/>
          </w:tcPr>
          <w:p/>
        </w:tc>
        <w:tc>
          <w:tcPr>
            <w:tcW w:w="3080" w:type="dxa"/>
            <w:vMerge/>
            <w:tcBorders>
              <w:top w:val="nil"/>
              <w:left w:val="single" w:sz="4" w:space="0" w:color="auto"/>
              <w:bottom w:val="single" w:sz="4" w:space="0" w:color="auto"/>
              <w:right w:val="single" w:sz="4" w:space="0" w:color="auto"/>
            </w:tcBorders>
            <w:vAlign w:val="center"/>
          </w:tcPr>
          <w:p/>
        </w:tc>
        <w:tc>
          <w:tcPr>
            <w:tcW w:w="4502" w:type="dxa"/>
            <w:tcBorders>
              <w:top w:val="nil"/>
              <w:left w:val="nil"/>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计划成本：项目实施单位为完成工作目标计划安排的支出，一般以项目预算为参考。</w:t>
            </w:r>
          </w:p>
        </w:tc>
        <w:tc>
          <w:tcPr>
            <w:tcW w:w="385" w:type="dxa"/>
            <w:tcBorders>
              <w:top w:val="nil"/>
              <w:left w:val="nil"/>
              <w:bottom w:val="single" w:sz="4" w:space="0" w:color="auto"/>
              <w:right w:val="single" w:sz="4" w:space="0" w:color="auto"/>
            </w:tcBorders>
          </w:tcPr>
          <w:p>
            <w:pPr>
              <w:widowControl/>
              <w:rPr>
                <w:rFonts w:ascii="宋体"/>
                <w:color w:val="000000"/>
                <w:kern w:val="0"/>
                <w:sz w:val="24"/>
              </w:rPr>
            </w:pPr>
          </w:p>
        </w:tc>
      </w:tr>
      <w:tr>
        <w:trPr>
          <w:trHeight w:val="667"/>
        </w:trPr>
        <w:tc>
          <w:tcPr>
            <w:tcW w:w="656" w:type="dxa"/>
            <w:vMerge w:val="restart"/>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效果</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710" w:type="dxa"/>
            <w:vMerge w:val="restart"/>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项目效益</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20</w:t>
            </w:r>
            <w:r>
              <w:rPr>
                <w:rFonts w:ascii="仿宋_GB2312" w:eastAsia="仿宋_GB2312" w:hint="eastAsia"/>
                <w:color w:val="000000"/>
                <w:kern w:val="0"/>
                <w:sz w:val="20"/>
                <w:szCs w:val="20"/>
              </w:rPr>
              <w:t>分）</w:t>
            </w:r>
          </w:p>
        </w:tc>
        <w:tc>
          <w:tcPr>
            <w:tcW w:w="1275" w:type="dxa"/>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经济效益</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项目实施对经济发展所带来的直接或间接影响情况。</w:t>
            </w:r>
          </w:p>
        </w:tc>
        <w:tc>
          <w:tcPr>
            <w:tcW w:w="4502" w:type="dxa"/>
            <w:vMerge w:val="restart"/>
            <w:tcBorders>
              <w:top w:val="single" w:sz="4" w:space="0" w:color="auto"/>
              <w:left w:val="single" w:sz="4" w:space="0" w:color="auto"/>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此四项指标为设置项目支出</w:t>
            </w:r>
            <w:r>
              <w:rPr>
                <w:rFonts w:ascii="仿宋_GB2312" w:hAnsi="仿宋_GB2312" w:hint="eastAsia"/>
                <w:color w:val="000000"/>
                <w:kern w:val="0"/>
                <w:sz w:val="20"/>
                <w:szCs w:val="20"/>
              </w:rPr>
              <w:t>績</w:t>
            </w:r>
            <w:r>
              <w:rPr>
                <w:rFonts w:ascii="仿宋_GB2312" w:eastAsia="仿宋_GB2312" w:hint="eastAsia"/>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single" w:sz="4" w:space="0" w:color="auto"/>
              <w:left w:val="single" w:sz="4" w:space="0" w:color="auto"/>
              <w:bottom w:val="single" w:sz="4" w:space="0" w:color="auto"/>
              <w:right w:val="single" w:sz="4" w:space="0" w:color="auto"/>
            </w:tcBorders>
          </w:tcPr>
          <w:p>
            <w:pPr>
              <w:widowControl/>
              <w:rPr>
                <w:rFonts w:ascii="宋体"/>
                <w:color w:val="000000"/>
                <w:kern w:val="0"/>
                <w:sz w:val="24"/>
              </w:rPr>
            </w:pPr>
            <w:r>
              <w:rPr>
                <w:rFonts w:ascii="宋体"/>
                <w:color w:val="000000"/>
                <w:kern w:val="0"/>
                <w:sz w:val="24"/>
              </w:rPr>
              <w:t>4</w:t>
            </w:r>
          </w:p>
        </w:tc>
      </w:tr>
      <w:tr>
        <w:trPr>
          <w:trHeight w:val="604"/>
        </w:trPr>
        <w:tc>
          <w:tcPr>
            <w:tcW w:w="656" w:type="dxa"/>
            <w:vMerge/>
            <w:tcBorders>
              <w:top w:val="single" w:sz="4" w:space="0" w:color="auto"/>
              <w:left w:val="single" w:sz="4" w:space="0" w:color="auto"/>
              <w:bottom w:val="single" w:sz="4" w:space="0" w:color="auto"/>
              <w:right w:val="single" w:sz="4" w:space="0" w:color="auto"/>
            </w:tcBorders>
            <w:vAlign w:val="center"/>
          </w:tcPr>
          <w:p/>
        </w:tc>
        <w:tc>
          <w:tcPr>
            <w:tcW w:w="710" w:type="dxa"/>
            <w:vMerge/>
            <w:tcBorders>
              <w:top w:val="single" w:sz="4" w:space="0" w:color="auto"/>
              <w:left w:val="single" w:sz="4" w:space="0" w:color="auto"/>
              <w:bottom w:val="single" w:sz="4" w:space="0" w:color="auto"/>
              <w:right w:val="single" w:sz="4" w:space="0" w:color="auto"/>
            </w:tcBorders>
            <w:vAlign w:val="center"/>
          </w:tcPr>
          <w:p/>
        </w:tc>
        <w:tc>
          <w:tcPr>
            <w:tcW w:w="1275" w:type="dxa"/>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社会效益</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项目实施对社会发展所带来的直接或间接影响情况。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tc>
        <w:tc>
          <w:tcPr>
            <w:tcW w:w="385" w:type="dxa"/>
            <w:tcBorders>
              <w:top w:val="single" w:sz="4" w:space="0" w:color="auto"/>
              <w:left w:val="single" w:sz="4" w:space="0" w:color="auto"/>
              <w:bottom w:val="single" w:sz="4" w:space="0" w:color="auto"/>
              <w:right w:val="single" w:sz="4" w:space="0" w:color="auto"/>
            </w:tcBorders>
          </w:tcPr>
          <w:p>
            <w:pPr>
              <w:widowControl/>
              <w:jc w:val="left"/>
              <w:rPr>
                <w:rFonts w:ascii="宋体"/>
                <w:color w:val="000000"/>
                <w:kern w:val="0"/>
                <w:sz w:val="24"/>
              </w:rPr>
            </w:pPr>
            <w:r>
              <w:rPr>
                <w:rFonts w:ascii="宋体"/>
                <w:color w:val="000000"/>
                <w:kern w:val="0"/>
                <w:sz w:val="24"/>
              </w:rPr>
              <w:t>3</w:t>
            </w:r>
          </w:p>
        </w:tc>
      </w:tr>
      <w:tr>
        <w:trPr>
          <w:trHeight w:val="755"/>
        </w:trPr>
        <w:tc>
          <w:tcPr>
            <w:tcW w:w="656" w:type="dxa"/>
            <w:vMerge/>
            <w:tcBorders>
              <w:top w:val="single" w:sz="4" w:space="0" w:color="auto"/>
              <w:left w:val="single" w:sz="4" w:space="0" w:color="auto"/>
              <w:bottom w:val="single" w:sz="4" w:space="0" w:color="auto"/>
              <w:right w:val="single" w:sz="4" w:space="0" w:color="auto"/>
            </w:tcBorders>
            <w:vAlign w:val="center"/>
          </w:tcPr>
          <w:p/>
        </w:tc>
        <w:tc>
          <w:tcPr>
            <w:tcW w:w="710" w:type="dxa"/>
            <w:vMerge/>
            <w:tcBorders>
              <w:top w:val="single" w:sz="4" w:space="0" w:color="auto"/>
              <w:left w:val="single" w:sz="4" w:space="0" w:color="auto"/>
              <w:bottom w:val="single" w:sz="4" w:space="0" w:color="auto"/>
              <w:right w:val="single" w:sz="4" w:space="0" w:color="auto"/>
            </w:tcBorders>
            <w:vAlign w:val="center"/>
          </w:tcPr>
          <w:p/>
        </w:tc>
        <w:tc>
          <w:tcPr>
            <w:tcW w:w="1275" w:type="dxa"/>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生态效益</w:t>
            </w:r>
          </w:p>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w:t>
            </w:r>
            <w:r>
              <w:rPr>
                <w:rFonts w:ascii="仿宋_GB2312" w:eastAsia="仿宋_GB2312"/>
                <w:color w:val="000000"/>
                <w:kern w:val="0"/>
                <w:sz w:val="20"/>
                <w:szCs w:val="20"/>
              </w:rPr>
              <w:t>3</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项目实施对生态环境所带来的直接或间接影响情况。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tc>
        <w:tc>
          <w:tcPr>
            <w:tcW w:w="385" w:type="dxa"/>
            <w:tcBorders>
              <w:top w:val="single" w:sz="4" w:space="0" w:color="auto"/>
              <w:left w:val="single" w:sz="4" w:space="0" w:color="auto"/>
              <w:bottom w:val="single" w:sz="4" w:space="0" w:color="auto"/>
              <w:right w:val="single" w:sz="4" w:space="0" w:color="auto"/>
            </w:tcBorders>
          </w:tcPr>
          <w:p>
            <w:pPr>
              <w:widowControl/>
              <w:jc w:val="left"/>
              <w:rPr>
                <w:rFonts w:ascii="宋体"/>
                <w:color w:val="000000"/>
                <w:kern w:val="0"/>
                <w:sz w:val="24"/>
              </w:rPr>
            </w:pPr>
            <w:r>
              <w:rPr>
                <w:rFonts w:ascii="宋体"/>
                <w:color w:val="000000"/>
                <w:kern w:val="0"/>
                <w:sz w:val="24"/>
              </w:rPr>
              <w:t>3</w:t>
            </w:r>
          </w:p>
        </w:tc>
      </w:tr>
      <w:tr>
        <w:trPr>
          <w:trHeight w:val="596"/>
        </w:trPr>
        <w:tc>
          <w:tcPr>
            <w:tcW w:w="656" w:type="dxa"/>
            <w:vMerge/>
            <w:tcBorders>
              <w:top w:val="single" w:sz="4" w:space="0" w:color="auto"/>
              <w:left w:val="single" w:sz="4" w:space="0" w:color="auto"/>
              <w:bottom w:val="single" w:sz="4" w:space="0" w:color="auto"/>
              <w:right w:val="single" w:sz="4" w:space="0" w:color="auto"/>
            </w:tcBorders>
            <w:vAlign w:val="center"/>
          </w:tcPr>
          <w:p/>
        </w:tc>
        <w:tc>
          <w:tcPr>
            <w:tcW w:w="710" w:type="dxa"/>
            <w:vMerge/>
            <w:tcBorders>
              <w:top w:val="single" w:sz="4" w:space="0" w:color="auto"/>
              <w:left w:val="single" w:sz="4" w:space="0" w:color="auto"/>
              <w:bottom w:val="single" w:sz="4" w:space="0" w:color="auto"/>
              <w:right w:val="single" w:sz="4" w:space="0" w:color="auto"/>
            </w:tcBorders>
            <w:vAlign w:val="center"/>
          </w:tcPr>
          <w:p/>
        </w:tc>
        <w:tc>
          <w:tcPr>
            <w:tcW w:w="1275" w:type="dxa"/>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color w:val="000000"/>
                <w:kern w:val="0"/>
                <w:sz w:val="20"/>
                <w:szCs w:val="20"/>
              </w:rPr>
            </w:pPr>
            <w:r>
              <w:rPr>
                <w:rFonts w:ascii="仿宋_GB2312" w:eastAsia="仿宋_GB2312" w:hint="eastAsia"/>
                <w:color w:val="000000"/>
                <w:kern w:val="0"/>
                <w:sz w:val="20"/>
                <w:szCs w:val="20"/>
              </w:rPr>
              <w:t>可持续影响（</w:t>
            </w:r>
            <w:r>
              <w:rPr>
                <w:rFonts w:ascii="仿宋_GB2312" w:eastAsia="仿宋_GB2312"/>
                <w:color w:val="000000"/>
                <w:kern w:val="0"/>
                <w:sz w:val="20"/>
                <w:szCs w:val="20"/>
              </w:rPr>
              <w:t>4</w:t>
            </w:r>
            <w:r>
              <w:rPr>
                <w:rFonts w:ascii="仿宋_GB2312" w:eastAsia="仿宋_GB2312" w:hint="eastAsia"/>
                <w:color w:val="000000"/>
                <w:kern w:val="0"/>
                <w:sz w:val="20"/>
                <w:szCs w:val="20"/>
              </w:rPr>
              <w:t>分）</w:t>
            </w:r>
          </w:p>
        </w:tc>
        <w:tc>
          <w:tcPr>
            <w:tcW w:w="3080" w:type="dxa"/>
            <w:tcBorders>
              <w:top w:val="single" w:sz="4" w:space="0" w:color="auto"/>
              <w:left w:val="single" w:sz="4" w:space="0" w:color="auto"/>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项目后续运行及成效发挥的可持续影响情况。</w:t>
            </w:r>
          </w:p>
        </w:tc>
        <w:tc>
          <w:tcPr>
            <w:tcW w:w="4502" w:type="dxa"/>
            <w:vMerge/>
            <w:tcBorders>
              <w:top w:val="single" w:sz="4" w:space="0" w:color="auto"/>
              <w:left w:val="single" w:sz="4" w:space="0" w:color="auto"/>
              <w:bottom w:val="single" w:sz="4" w:space="0" w:color="auto"/>
              <w:right w:val="single" w:sz="4" w:space="0" w:color="auto"/>
            </w:tcBorders>
            <w:vAlign w:val="center"/>
          </w:tcPr>
          <w:p/>
        </w:tc>
        <w:tc>
          <w:tcPr>
            <w:tcW w:w="385" w:type="dxa"/>
            <w:tcBorders>
              <w:top w:val="single" w:sz="4" w:space="0" w:color="auto"/>
              <w:left w:val="single" w:sz="4" w:space="0" w:color="auto"/>
              <w:bottom w:val="single" w:sz="4" w:space="0" w:color="auto"/>
              <w:right w:val="single" w:sz="4" w:space="0" w:color="auto"/>
            </w:tcBorders>
          </w:tcPr>
          <w:p>
            <w:pPr>
              <w:widowControl/>
              <w:jc w:val="left"/>
              <w:rPr>
                <w:rFonts w:ascii="宋体"/>
                <w:color w:val="000000"/>
                <w:kern w:val="0"/>
                <w:sz w:val="24"/>
              </w:rPr>
            </w:pPr>
            <w:r>
              <w:rPr>
                <w:rFonts w:ascii="宋体"/>
                <w:color w:val="000000"/>
                <w:kern w:val="0"/>
                <w:sz w:val="24"/>
              </w:rPr>
              <w:t>4</w:t>
            </w:r>
          </w:p>
        </w:tc>
      </w:tr>
      <w:tr>
        <w:trPr>
          <w:trHeight w:val="916"/>
        </w:trPr>
        <w:tc>
          <w:tcPr>
            <w:tcW w:w="656" w:type="dxa"/>
            <w:vMerge/>
            <w:tcBorders>
              <w:top w:val="single" w:sz="4" w:space="0" w:color="auto"/>
              <w:left w:val="single" w:sz="4" w:space="0" w:color="auto"/>
              <w:bottom w:val="single" w:sz="4" w:space="0" w:color="auto"/>
              <w:right w:val="single" w:sz="4" w:space="0" w:color="auto"/>
            </w:tcBorders>
            <w:vAlign w:val="center"/>
          </w:tcPr>
          <w:p/>
        </w:tc>
        <w:tc>
          <w:tcPr>
            <w:tcW w:w="710" w:type="dxa"/>
            <w:vMerge/>
            <w:tcBorders>
              <w:top w:val="single" w:sz="4" w:space="0" w:color="auto"/>
              <w:left w:val="single" w:sz="4" w:space="0" w:color="auto"/>
              <w:bottom w:val="single" w:sz="4" w:space="0" w:color="auto"/>
              <w:right w:val="single" w:sz="4" w:space="0" w:color="auto"/>
            </w:tcBorders>
            <w:vAlign w:val="center"/>
          </w:tcPr>
          <w:p/>
        </w:tc>
        <w:tc>
          <w:tcPr>
            <w:tcW w:w="1275" w:type="dxa"/>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color w:val="000000"/>
                <w:kern w:val="0"/>
                <w:sz w:val="18"/>
                <w:szCs w:val="18"/>
              </w:rPr>
            </w:pPr>
            <w:r>
              <w:rPr>
                <w:rFonts w:ascii="仿宋_GB2312" w:eastAsia="仿宋_GB2312" w:hint="eastAsia"/>
                <w:color w:val="000000"/>
                <w:kern w:val="0"/>
                <w:sz w:val="18"/>
                <w:szCs w:val="18"/>
              </w:rPr>
              <w:t>社会公众或服务对象满意度（</w:t>
            </w:r>
            <w:r>
              <w:rPr>
                <w:rFonts w:ascii="仿宋_GB2312" w:eastAsia="仿宋_GB2312"/>
                <w:color w:val="000000"/>
                <w:kern w:val="0"/>
                <w:sz w:val="18"/>
                <w:szCs w:val="18"/>
              </w:rPr>
              <w:t>6</w:t>
            </w:r>
            <w:r>
              <w:rPr>
                <w:rFonts w:ascii="仿宋_GB2312" w:eastAsia="仿宋_GB2312" w:hint="eastAsia"/>
                <w:color w:val="000000"/>
                <w:kern w:val="0"/>
                <w:sz w:val="18"/>
                <w:szCs w:val="18"/>
              </w:rPr>
              <w:t>分）</w:t>
            </w:r>
          </w:p>
        </w:tc>
        <w:tc>
          <w:tcPr>
            <w:tcW w:w="3080" w:type="dxa"/>
            <w:tcBorders>
              <w:top w:val="single" w:sz="4" w:space="0" w:color="auto"/>
              <w:left w:val="single" w:sz="4" w:space="0" w:color="auto"/>
              <w:bottom w:val="single" w:sz="4" w:space="0" w:color="auto"/>
              <w:right w:val="single" w:sz="4" w:space="0" w:color="auto"/>
            </w:tcBorders>
            <w:vAlign w:val="center"/>
          </w:tcPr>
          <w:p>
            <w:pPr>
              <w:widowControl/>
              <w:rPr>
                <w:rFonts w:ascii="仿宋_GB2312" w:eastAsia="仿宋_GB2312"/>
                <w:color w:val="000000"/>
                <w:kern w:val="0"/>
                <w:sz w:val="20"/>
                <w:szCs w:val="20"/>
              </w:rPr>
            </w:pPr>
            <w:r>
              <w:rPr>
                <w:rFonts w:ascii="仿宋_GB2312" w:eastAsia="仿宋_GB2312" w:hint="eastAsia"/>
                <w:color w:val="000000"/>
                <w:kern w:val="0"/>
                <w:sz w:val="20"/>
                <w:szCs w:val="20"/>
              </w:rPr>
              <w:t>社会公众或服务对象对项目实施效策的满意程度</w:t>
            </w:r>
          </w:p>
        </w:tc>
        <w:tc>
          <w:tcPr>
            <w:tcW w:w="4502" w:type="dxa"/>
            <w:tcBorders>
              <w:top w:val="single" w:sz="4" w:space="0" w:color="auto"/>
              <w:left w:val="single" w:sz="4" w:space="0" w:color="auto"/>
              <w:bottom w:val="single" w:sz="4" w:space="0" w:color="auto"/>
              <w:right w:val="single" w:sz="4" w:space="0" w:color="auto"/>
            </w:tcBorders>
            <w:vAlign w:val="center"/>
          </w:tcPr>
          <w:p>
            <w:pPr>
              <w:widowControl/>
              <w:rPr>
                <w:rFonts w:ascii="仿宋_GB2312" w:eastAsia="仿宋_GB2312"/>
                <w:color w:val="000000"/>
                <w:kern w:val="0"/>
                <w:sz w:val="18"/>
                <w:szCs w:val="18"/>
              </w:rPr>
            </w:pPr>
            <w:r>
              <w:rPr>
                <w:rFonts w:ascii="仿宋_GB2312" w:eastAsia="仿宋_GB2312" w:hint="eastAsia"/>
                <w:color w:val="000000"/>
                <w:kern w:val="0"/>
                <w:sz w:val="18"/>
                <w:szCs w:val="18"/>
              </w:rPr>
              <w:t>社会公众或服务对象是指因该项目实施而受到影响的部门</w:t>
            </w:r>
            <w:r>
              <w:rPr>
                <w:rFonts w:ascii="仿宋_GB2312" w:eastAsia="仿宋_GB2312"/>
                <w:color w:val="000000"/>
                <w:kern w:val="0"/>
                <w:sz w:val="18"/>
                <w:szCs w:val="18"/>
              </w:rPr>
              <w:t>(</w:t>
            </w:r>
            <w:r>
              <w:rPr>
                <w:rFonts w:ascii="仿宋_GB2312" w:eastAsia="仿宋_GB2312" w:hint="eastAsia"/>
                <w:color w:val="000000"/>
                <w:kern w:val="0"/>
                <w:sz w:val="18"/>
                <w:szCs w:val="18"/>
              </w:rPr>
              <w:t>单位</w:t>
            </w:r>
            <w:r>
              <w:rPr>
                <w:rFonts w:ascii="仿宋_GB2312" w:eastAsia="仿宋_GB2312"/>
                <w:color w:val="000000"/>
                <w:kern w:val="0"/>
                <w:sz w:val="18"/>
                <w:szCs w:val="18"/>
              </w:rPr>
              <w:t>)</w:t>
            </w:r>
            <w:r>
              <w:rPr>
                <w:rFonts w:ascii="仿宋_GB2312" w:eastAsia="仿宋_GB2312" w:hint="eastAsia"/>
                <w:color w:val="000000"/>
                <w:kern w:val="0"/>
                <w:sz w:val="18"/>
                <w:szCs w:val="18"/>
              </w:rPr>
              <w:t>、群体或个人。一般采取社会调查的方式。</w:t>
            </w:r>
          </w:p>
        </w:tc>
        <w:tc>
          <w:tcPr>
            <w:tcW w:w="385" w:type="dxa"/>
            <w:tcBorders>
              <w:top w:val="single" w:sz="4" w:space="0" w:color="auto"/>
              <w:left w:val="single" w:sz="4" w:space="0" w:color="auto"/>
              <w:bottom w:val="single" w:sz="4" w:space="0" w:color="auto"/>
              <w:right w:val="single" w:sz="4" w:space="0" w:color="auto"/>
            </w:tcBorders>
          </w:tcPr>
          <w:p>
            <w:pPr>
              <w:widowControl/>
              <w:rPr>
                <w:rFonts w:ascii="宋体"/>
                <w:color w:val="000000"/>
                <w:kern w:val="0"/>
                <w:sz w:val="24"/>
              </w:rPr>
            </w:pPr>
            <w:r>
              <w:rPr>
                <w:rFonts w:ascii="宋体"/>
                <w:color w:val="000000"/>
                <w:kern w:val="0"/>
                <w:sz w:val="24"/>
              </w:rPr>
              <w:t>5</w:t>
            </w:r>
          </w:p>
        </w:tc>
      </w:tr>
      <w:tr>
        <w:trPr>
          <w:trHeight w:val="916"/>
        </w:trPr>
        <w:tc>
          <w:tcPr>
            <w:tcW w:w="10223" w:type="dxa"/>
            <w:gridSpan w:val="5"/>
            <w:tcBorders>
              <w:top w:val="single" w:sz="4" w:space="0" w:color="auto"/>
              <w:left w:val="single" w:sz="4" w:space="0" w:color="auto"/>
              <w:bottom w:val="single" w:sz="4" w:space="0" w:color="auto"/>
              <w:right w:val="single" w:sz="4" w:space="0" w:color="auto"/>
            </w:tcBorders>
            <w:vAlign w:val="center"/>
          </w:tcPr>
          <w:p>
            <w:pPr>
              <w:widowControl/>
              <w:jc w:val="center"/>
              <w:rPr>
                <w:rFonts w:ascii="仿宋_GB2312" w:eastAsia="仿宋_GB2312" w:hint="eastAsia"/>
                <w:color w:val="000000"/>
                <w:kern w:val="0"/>
                <w:sz w:val="18"/>
                <w:szCs w:val="18"/>
                <w:lang w:eastAsia="zh-CN"/>
              </w:rPr>
            </w:pPr>
            <w:r>
              <w:rPr>
                <w:rFonts w:ascii="仿宋_GB2312" w:eastAsia="仿宋_GB2312" w:hint="eastAsia"/>
                <w:color w:val="000000"/>
                <w:kern w:val="0"/>
                <w:sz w:val="24"/>
                <w:szCs w:val="24"/>
                <w:lang w:eastAsia="zh-CN"/>
              </w:rPr>
              <w:t>合计得分</w:t>
            </w:r>
          </w:p>
        </w:tc>
        <w:tc>
          <w:tcPr>
            <w:tcW w:w="385" w:type="dxa"/>
            <w:tcBorders>
              <w:top w:val="single" w:sz="4" w:space="0" w:color="auto"/>
              <w:left w:val="single" w:sz="4" w:space="0" w:color="auto"/>
              <w:bottom w:val="single" w:sz="4" w:space="0" w:color="auto"/>
              <w:right w:val="single" w:sz="4" w:space="0" w:color="auto"/>
            </w:tcBorders>
          </w:tcPr>
          <w:p>
            <w:pPr>
              <w:widowControl/>
              <w:rPr>
                <w:rFonts w:ascii="宋体"/>
                <w:color w:val="000000"/>
                <w:kern w:val="0"/>
                <w:sz w:val="24"/>
              </w:rPr>
            </w:pPr>
            <w:r>
              <w:rPr>
                <w:rFonts w:ascii="宋体"/>
                <w:color w:val="000000"/>
                <w:kern w:val="0"/>
                <w:sz w:val="24"/>
              </w:rPr>
              <w:t>81</w:t>
            </w:r>
          </w:p>
        </w:tc>
      </w:tr>
    </w:tbl>
    <w:p>
      <w:pPr>
        <w:pStyle w:val="17"/>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right="0"/>
        <w:jc w:val="both"/>
        <w:textAlignment w:val="auto"/>
        <w:outlineLvl w:val="9"/>
        <w:rPr>
          <w:rFonts w:ascii="仿宋" w:eastAsia="仿宋" w:cs="Times New Roman"/>
        </w:rPr>
      </w:pPr>
    </w:p>
    <w:sectPr>
      <w:headerReference w:type="default" r:id="rId2"/>
      <w:footerReference w:type="default" r:id="rId3"/>
      <w:pgSz w:w="11850" w:h="16783"/>
      <w:pgMar w:top="1327" w:right="1650" w:bottom="1100" w:left="1800" w:header="0" w:footer="0" w:gutter="0"/>
      <w:docGrid w:type="lines" w:linePitch="319"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080E0000" w:usb2="00000000" w:usb3="00000000" w:csb0="00040001" w:csb1="00000000"/>
  </w:font>
  <w:font w:name="仿宋_GB2312">
    <w:panose1 w:val="02010609030101010101"/>
    <w:charset w:val="86"/>
    <w:family w:val="modern"/>
    <w:pitch w:val="variable"/>
    <w:sig w:usb0="00000001" w:usb1="080E0000" w:usb2="00000000" w:usb3="00000000" w:csb0="00040000" w:csb1="00000000"/>
  </w:font>
  <w:font w:name="方正小标宋简体">
    <w:altName w:val="宋体"/>
    <w:panose1 w:val="03000509000000000000"/>
    <w:charset w:val="86"/>
    <w:family w:val="auto"/>
    <w:pitch w:val="variable"/>
    <w:sig w:usb0="00000001" w:usb1="080E0000" w:usb2="00000000" w:usb3="00000000" w:csb0="00040000" w:csb1="00000000"/>
  </w:font>
  <w:font w:name="黑体">
    <w:panose1 w:val="02010600030101010101"/>
    <w:charset w:val="86"/>
    <w:family w:val="auto"/>
    <w:pitch w:val="variable"/>
    <w:sig w:usb0="00000001" w:usb1="080E0000" w:usb2="00000000" w:usb3="00000000" w:csb0="00040000" w:csb1="00000000"/>
  </w:font>
  <w:font w:name="仿宋">
    <w:altName w:val="仿宋_GB2312"/>
    <w:panose1 w:val="02010609060101010101"/>
    <w:charset w:val="86"/>
    <w:family w:val="modern"/>
    <w:pitch w:val="variable"/>
    <w:sig w:usb0="00000000" w:usb1="00000000" w:usb2="00000016" w:usb3="00000000" w:csb0="00040001" w:csb1="00000000"/>
  </w:font>
  <w:font w:name="Calibri">
    <w:panose1 w:val="020F0502020204030204"/>
    <w:charset w:val="00"/>
    <w:family w:val="swiss"/>
    <w:pitch w:val="variable"/>
    <w:sig w:usb0="A00002EF" w:usb1="4000207B" w:usb2="00000000" w:usb3="00000000" w:csb0="200000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5"/>
      <w:tabs>
        <w:tab w:val="center" w:pos="4153"/>
        <w:tab w:val="right" w:pos="8306"/>
      </w:tabs>
    </w:pPr>
    <w:r>
      <w:rPr>
        <w:sz w:val="18"/>
      </w:rPr>
      <mc:AlternateContent>
        <mc:Choice Requires="wps">
          <w:drawing>
            <wp:anchor distT="0" distB="0" distL="114298" distR="114298" simplePos="0" relativeHeight="10" behindDoc="0" locked="0" layoutInCell="1" hidden="0" allowOverlap="1">
              <wp:simplePos x="0" y="0"/>
              <wp:positionH relativeFrom="margin">
                <wp:align>center</wp:align>
              </wp:positionH>
              <wp:positionV relativeFrom="paragraph">
                <wp:posOffset>0</wp:posOffset>
              </wp:positionV>
              <wp:extent cx="57950" cy="139674"/>
              <wp:effectExtent l="0" t="0" r="0" b="0"/>
              <wp:wrapNone/>
              <wp:docPr id="1" name="文本框 1"/>
              <wp:cNvGraphicFramePr>
                <a:graphicFrameLocks noChangeAspect="0"/>
              </wp:cNvGraphicFramePr>
              <a:graphic>
                <a:graphicData uri="http://schemas.microsoft.com/office/word/2010/wordprocessingShape">
                  <wps:wsp>
                    <wps:cNvSpPr/>
                    <wps:spPr>
                      <a:xfrm rot="0">
                        <a:off x="0" y="0"/>
                        <a:ext cx="57950" cy="139674"/>
                      </a:xfrm>
                      <a:prstGeom prst="rect"/>
                      <a:noFill/>
                      <a:ln w="6350" cmpd="sng" cap="flat">
                        <a:noFill/>
                        <a:prstDash val="solid"/>
                        <a:round/>
                      </a:ln>
                    </wps:spPr>
                    <wps:txbx id="2">
                      <w:txbxContent>
                        <w:p>
                          <w:pPr>
                            <w:snapToGrid w:val="0"/>
                            <w:rPr>
                              <w:rFonts w:eastAsia="宋体"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vert="horz" wrap="none" lIns="0" tIns="0" rIns="0" bIns="0" anchor="t" anchorCtr="0" upright="0">
                      <a:spAutoFit/>
                    </wps:bodyPr>
                  </wps:wsp>
                </a:graphicData>
              </a:graphic>
            </wp:anchor>
          </w:drawing>
        </mc:Choice>
        <mc:Fallback>
          <w:pict>
            <v:shape type="#_x0000_t202" id="文本框 3" o:spid="_x0000_s3" filled="f" stroked="f" strokeweight="0.5pt" style="position:absolute;&#13;&#10;margin-left:0.0pt;&#13;&#10;margin-top:0.0pt;&#13;&#10;width:4.56301pt;&#13;&#10;height:10.997971pt;&#13;&#10;z-index:10;&#13;&#10;mso-position-horizontal:center;&#13;&#10;mso-position-horizontal-relative:margin;&#13;&#10;mso-position-vertical:absolute;&#13;&#10;mso-wrap-distance-left:8.999863pt;&#13;&#10;mso-wrap-distance-right:8.999863pt;&#13;&#10;mso-wrap-style:none;">
              <v:stroke color="#000000"/>
              <v:textbox id="848" inset="0mm,0mm,0mm,0mm" o:insetmode="custom" style="layout-flow:horizontal;&#13;&#10;v-text-anchor:top;&#13;&#10;mso-fit-shape-to-text:t;">
                <w:txbxContent>
                  <w:p>
                    <w:pPr>
                      <w:snapToGrid w:val="0"/>
                      <w:rPr>
                        <w:rFonts w:eastAsia="宋体"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6"/>
      <w:pBdr>
        <w:top w:val="none" w:sz="0" w:space="0" w:color="auto"/>
        <w:left w:val="none" w:sz="0" w:space="0" w:color="auto"/>
        <w:bottom w:val="none" w:sz="0" w:space="0" w:color="auto"/>
        <w:right w:val="none" w:sz="0" w:space="0" w:color="auto"/>
      </w:pBdr>
      <w:tabs>
        <w:tab w:val="center" w:pos="4153"/>
        <w:tab w:val="right" w:pos="8306"/>
      </w:tabs>
      <w:rPr>
        <w:rFonts w:cs="Times New Roman"/>
      </w:rPr>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00C55018"/>
    <w:multiLevelType w:val="hybridMultilevel"/>
    <w:tmpl w:val="00000000"/>
    <w:lvl w:ilvl="0">
      <w:start w:val="1"/>
      <w:numFmt w:val="chineseCountingThousand"/>
      <w:lvlRestart w:val="0"/>
      <w:lvlText w:val="（%1）"/>
      <w:lvlJc w:val="left"/>
      <w:pPr>
        <w:tabs>
          <w:tab w:val="num" w:pos="1600"/>
        </w:tabs>
        <w:ind w:left="1600" w:hanging="960"/>
      </w:p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9"/>
  <w:displayHorizontalDrawingGridEvery w:val="0"/>
  <w:displayVerticalDrawingGridEvery w:val="2"/>
  <w:noPunctuationKerning/>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Calibri" w:hAnsi="Calibri"/>
      <w:kern w:val="2"/>
      <w:sz w:val="21"/>
      <w:szCs w:val="21"/>
      <w:lang w:val="en-US" w:eastAsia="zh-CN" w:bidi="ar-SA"/>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top w:val="none" w:sz="0" w:space="0" w:color="auto"/>
        <w:left w:val="none" w:sz="0" w:space="0" w:color="auto"/>
        <w:bottom w:val="none" w:sz="0" w:space="0" w:color="auto"/>
        <w:right w:val="none" w:sz="0" w:space="0" w:color="auto"/>
      </w:pBdr>
      <w:tabs>
        <w:tab w:val="center" w:pos="4153"/>
        <w:tab w:val="right" w:pos="8306"/>
      </w:tabs>
      <w:snapToGrid w:val="0"/>
    </w:pPr>
    <w:rPr>
      <w:sz w:val="18"/>
      <w:szCs w:val="18"/>
    </w:rPr>
  </w:style>
  <w:style w:type="paragraph" w:styleId="17">
    <w:name w:val="Normal (Web)"/>
    <w:basedOn w:val="0"/>
    <w:pPr>
      <w:spacing w:beforeAutospacing="1" w:afterAutospacing="1"/>
      <w:jc w:val="left"/>
    </w:pPr>
    <w:rPr>
      <w:kern w:val="0"/>
      <w:sz w:val="24"/>
      <w:szCs w:val="24"/>
    </w:rPr>
  </w:style>
  <w:style w:type="character" w:styleId="18">
    <w:name w:val="Hyperlink"/>
    <w:basedOn w:val="10"/>
    <w:rPr>
      <w:color w:val="0000FF"/>
      <w:u w:val="singl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69</TotalTime>
  <Application>Yozo_Office</Application>
  <Pages>9</Pages>
  <Words>5737</Words>
  <Characters>5812</Characters>
  <Lines>491</Lines>
  <Paragraphs>198</Paragraphs>
  <CharactersWithSpaces>5817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微软用户</cp:lastModifiedBy>
  <cp:revision>4</cp:revision>
  <cp:lastPrinted>2019-01-21T07:39:00Z</cp:lastPrinted>
  <dcterms:created xsi:type="dcterms:W3CDTF">2018-08-08T02:31:00Z</dcterms:created>
  <dcterms:modified xsi:type="dcterms:W3CDTF">2019-03-06T08:53:51Z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2052-10.1.0.6159</vt:lpwstr>
  </property>
</Properties>
</file>