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DD0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冷水滩</w:t>
      </w:r>
      <w:r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区科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学技术</w:t>
      </w:r>
      <w:r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协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会</w:t>
      </w:r>
    </w:p>
    <w:p w14:paraId="36197E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2018年项目支出绩效评价报告</w:t>
      </w:r>
    </w:p>
    <w:p w14:paraId="6D1386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132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 </w:t>
      </w:r>
    </w:p>
    <w:p w14:paraId="1045B1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720" w:right="0" w:hanging="7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一、 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单位概况</w:t>
      </w:r>
    </w:p>
    <w:p w14:paraId="39D36C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冷水滩区科协是中共冷水滩区委领导下的人民团体，是党和政府联系全区科技工作者的桥梁和组带，是推动我国科技事业发展的重要力量，是科普工作的主力军，是科技工作者之家，是人民政协组成单位。其主要工作职责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:弘扬科学精神，普及科学技术知识，传播科学思想和方法，捍卫科学尊严，推广先进技术，开展青少年科学技术教育活动，提高全区人民的科学文化素质;开展学术交流，活跃学术思想，促进学科发展，提高学术水平;反映科学技术工作者的意见和要求，维护科技工作者的合法权益，组织科技工作者为党和政府制定科学政策法规提高咨询，参与政治协商、科学决策、民主监督;负责表彰奖励优秀科技工作者的有关工作，向有关部门推荐人才;开展科学论证、咨询服务、科技协作和科技培训，提出政策建议，参与技术攻关，促进科技成果、向现实生产力转化等。</w:t>
      </w:r>
    </w:p>
    <w:p w14:paraId="6CAC99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720" w:right="0" w:hanging="72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二、 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部门预算单位构成</w:t>
      </w:r>
    </w:p>
    <w:p w14:paraId="4C774B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我会内部机构设置为“一室两部”即办公室、普及部、学会部，现有编制人数8人，其中行政7人，工勤人员1人，老科协挂靠在区科协。实有人员16人，其中在职人员8人、离退休人员8人;在职人员中，行政人员7人，工勤人员1人，副处级职级干部1人，正副科级5人，其他人员2人;退休人员中，副处级1人、正副科级7人</w:t>
      </w:r>
    </w:p>
    <w:p w14:paraId="143B70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三、项目资金使用及管理情况</w:t>
      </w:r>
    </w:p>
    <w:p w14:paraId="545AE4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1.资金使用及管理情况</w:t>
      </w:r>
    </w:p>
    <w:p w14:paraId="374628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2018年度收、支总计151.4万元，与2017年相比，收支总计增加2.89万元，增长1.95％，主要原因是工资改革增资以及新招考工作人员1人，増加了人员经费。</w:t>
      </w:r>
    </w:p>
    <w:p w14:paraId="2EAB11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2.“三公”经费使用情况说明</w:t>
      </w:r>
    </w:p>
    <w:p w14:paraId="7AE6EE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 “三公”经费财政拨款支出决算总体情况说明2018年度“三公”经费财政拨款支出预算数为2.6万元，支出决算数为1.08万元，完成预算的41.54％，决算数小于预算数的主要原因是认真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贯彻落实中央八项规定精神和厉行节约要求，从严控制“三公”经费开支，全年实际支出比预算有所节约。</w:t>
      </w:r>
    </w:p>
    <w:p w14:paraId="1DFFA8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四、项目绩效完成情况</w:t>
      </w:r>
    </w:p>
    <w:p w14:paraId="7EDAE4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 (一)绩效管理工作开展情况</w:t>
      </w:r>
    </w:p>
    <w:p w14:paraId="30D2D9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按照“三服务一加强”工作定位和“大联合、大协作、大科普”工作思路，创新绩效管理工作，1.大力创建“科普品牌”宣传活动，组织开展8次大型科普宣传活动，如春节“三下乡”科普宣传、防灾减灾科普宣传、科技宣传周、“全国科普日”等；2.组织参加全国农民科学素质网络竞赛和湖南省科学素质网络竞赛;3.完善科普网络建设，建立乡镇、学校、企业科普网络;4.突出校园为重点，继续开展校园科普活动，如青少年科技创新大赛等;5.走访、扶持、发展科普带头人、科技示范户、科普示范基地、科普示范社区，积极申报国家级和湖南省“基层科普行动计划;6.加强科普设施建设，扶持社区、农村科普设施建设，完善扶贫联系村科普设施建设;7.积极完成区委、区政府其他交办的事情。严格按照部门预算执行支出，绩效执行情况良好。</w:t>
      </w:r>
    </w:p>
    <w:p w14:paraId="5FD009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 (二)部门决算中项目绩效自评结果</w:t>
      </w:r>
    </w:p>
    <w:p w14:paraId="1A5B12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严格按照年初制定的绩效管理工作计划，在今年收支预算内完成了以下整体目标:发展科技示范户40户、基地2个、农村专业技术协会4个;组织开展8次科普宣传活动;新建科普画廊10处、印剧科普图书10万册。</w:t>
      </w:r>
    </w:p>
    <w:p w14:paraId="083599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本单位财政资金管理比较规范合理，建立并严格执行内部控制制度，做到专款专用、专人管理，部门预算执行预算情况较好，专项支出绩效较好。</w:t>
      </w:r>
    </w:p>
    <w:p w14:paraId="4D445E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(三)以部门为主体开展的重点绩效评价结果</w:t>
      </w:r>
    </w:p>
    <w:p w14:paraId="18ECD4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区科协全面完成年初制定的项目目标建设任务，推动了“大联合、大协作、大科普”工作格局，也取得了一系列荣誉，其中:全国农民科学素质网络竞赛活动被中国科协科普部、农业农村部教育司评为优秀组织单位，全国科普日活动被省科协评为优秀活动，青少年科技创新大赛作品获得省级表彰等，并在全市科协系统绩效考核中被评为优秀单位。</w:t>
      </w:r>
    </w:p>
    <w:p w14:paraId="328E56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五、下一步改进措施：</w:t>
      </w:r>
    </w:p>
    <w:p w14:paraId="3E5963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根据实情，制定绩效目标，结合2018年的资金使用和管理的情况，发现不足，完善各项资金管理的制度。进一步规范立项申报，加强资金使用的监督，确保各项资金使用的高效、公开、规范。</w:t>
      </w:r>
    </w:p>
    <w:p w14:paraId="5A6C99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六、绩效自评得分等级为优。 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E5A11"/>
    <w:rsid w:val="42D8748A"/>
    <w:rsid w:val="5282261B"/>
    <w:rsid w:val="6A1E7BBA"/>
    <w:rsid w:val="72180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1567</Words>
  <Characters>1621</Characters>
  <Lines>0</Lines>
  <Paragraphs>0</Paragraphs>
  <TotalTime>0</TotalTime>
  <ScaleCrop>false</ScaleCrop>
  <LinksUpToDate>false</LinksUpToDate>
  <CharactersWithSpaces>1621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自由行走的胡萝北</cp:lastModifiedBy>
  <dcterms:modified xsi:type="dcterms:W3CDTF">2024-12-31T08:16:03Z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DD0A0E46CFF64C2C99D9554A215B7927</vt:lpwstr>
  </property>
  <property fmtid="{D5CDD505-2E9C-101B-9397-08002B2CF9AE}" pid="4" name="KSOTemplateDocerSaveRecord">
    <vt:lpwstr>eyJoZGlkIjoiNjE3MmM4Njk5ZDI1NTAxYzczOWE2ZDE3NmVmNzAwMzAiLCJ1c2VySWQiOiI0MTgyMjcyMzAifQ==</vt:lpwstr>
  </property>
</Properties>
</file>