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00" w:lineRule="exact"/>
        <w:jc w:val="center"/>
        <w:rPr>
          <w:rFonts w:ascii="微软雅黑" w:hAnsi="微软雅黑" w:cs="Times New Roman"/>
          <w:b/>
          <w:sz w:val="36"/>
          <w:szCs w:val="36"/>
        </w:rPr>
      </w:pPr>
      <w:r>
        <w:rPr>
          <w:rFonts w:hint="eastAsia" w:ascii="微软雅黑" w:hAnsi="微软雅黑" w:cs="Times New Roman"/>
          <w:b/>
          <w:sz w:val="36"/>
          <w:szCs w:val="36"/>
        </w:rPr>
        <w:t>冷水滩区安监局</w:t>
      </w:r>
    </w:p>
    <w:p>
      <w:pPr>
        <w:spacing w:after="0" w:line="500" w:lineRule="exact"/>
        <w:jc w:val="center"/>
        <w:rPr>
          <w:rFonts w:ascii="微软雅黑" w:hAnsi="微软雅黑" w:cs="Times New Roman"/>
          <w:b/>
          <w:sz w:val="36"/>
          <w:szCs w:val="36"/>
        </w:rPr>
      </w:pPr>
      <w:r>
        <w:rPr>
          <w:rFonts w:hint="eastAsia" w:ascii="微软雅黑" w:hAnsi="微软雅黑" w:cs="Times New Roman"/>
          <w:b/>
          <w:color w:val="000000"/>
          <w:sz w:val="36"/>
          <w:szCs w:val="36"/>
        </w:rPr>
        <w:t>2018</w:t>
      </w:r>
      <w:r>
        <w:rPr>
          <w:rFonts w:ascii="微软雅黑" w:hAnsi="微软雅黑" w:cs="Times New Roman"/>
          <w:b/>
          <w:sz w:val="36"/>
          <w:szCs w:val="36"/>
        </w:rPr>
        <w:t>年度部门整体支出绩效自评报告</w:t>
      </w:r>
    </w:p>
    <w:p>
      <w:pPr>
        <w:spacing w:after="0" w:line="500" w:lineRule="exact"/>
        <w:ind w:firstLine="440" w:firstLineChars="200"/>
        <w:jc w:val="center"/>
        <w:rPr>
          <w:rFonts w:cs="Times New Roman"/>
        </w:rPr>
      </w:pPr>
    </w:p>
    <w:p>
      <w:pPr>
        <w:spacing w:after="0" w:line="500" w:lineRule="exact"/>
        <w:ind w:firstLine="600" w:firstLineChars="200"/>
        <w:rPr>
          <w:rFonts w:ascii="宋体" w:hAnsi="宋体" w:cs="Times New Roman"/>
          <w:b/>
          <w:sz w:val="30"/>
          <w:szCs w:val="30"/>
        </w:rPr>
      </w:pPr>
      <w:r>
        <w:rPr>
          <w:rFonts w:ascii="宋体" w:hAnsi="宋体" w:cs="Times New Roman"/>
          <w:b/>
          <w:sz w:val="30"/>
          <w:szCs w:val="30"/>
        </w:rPr>
        <w:t>一、部门概况</w:t>
      </w:r>
    </w:p>
    <w:p>
      <w:pPr>
        <w:spacing w:after="0" w:line="500" w:lineRule="exact"/>
        <w:ind w:firstLine="600" w:firstLineChars="200"/>
        <w:rPr>
          <w:rFonts w:ascii="宋体" w:hAnsi="宋体" w:cs="Times New Roman"/>
          <w:sz w:val="30"/>
          <w:szCs w:val="30"/>
        </w:rPr>
      </w:pPr>
      <w:r>
        <w:rPr>
          <w:rFonts w:ascii="宋体" w:hAnsi="宋体" w:cs="Times New Roman"/>
          <w:sz w:val="30"/>
          <w:szCs w:val="30"/>
        </w:rPr>
        <w:t>（一）部门基本情况。</w:t>
      </w:r>
    </w:p>
    <w:p>
      <w:pPr>
        <w:spacing w:after="0" w:line="500" w:lineRule="exact"/>
        <w:ind w:firstLine="482" w:firstLineChars="150"/>
        <w:rPr>
          <w:rFonts w:ascii="仿宋" w:hAnsi="仿宋" w:eastAsia="仿宋"/>
          <w:b/>
          <w:sz w:val="32"/>
          <w:szCs w:val="32"/>
        </w:rPr>
      </w:pPr>
      <w:r>
        <w:rPr>
          <w:rFonts w:hint="eastAsia" w:ascii="仿宋" w:hAnsi="仿宋" w:eastAsia="仿宋"/>
          <w:b/>
          <w:sz w:val="32"/>
          <w:szCs w:val="32"/>
        </w:rPr>
        <w:t>1.主要职能</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（1）承担安全生产委员会办公室的日常工作。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（2）综合监督管理本行政区域安全生产工作，依法行使同级人民政府安全生产综合监管职能。</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（3）负责非煤矿山（含尾矿库）、危险化学品和烟花爆竹行业安全生产行政许可和监督管理工作；负责冶金、有色、机械等八大行业安全生产监督管理工作。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（4）依照有关规定，负责组织生产安全事故调查处理和办理结案工作，参与、协助上级政府或有关部门组织的生产安全事故调查。</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（5）负责发布安全生产事故调查处理信息，综合管理生产安全事故统计工作。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（6）牵头、协调非煤矿山（含尾矿库）、危险化学品、烟花爆竹和有色、冶金、机械等八大行业的生产安全事故应急救援 工作，参与、指导其他生产安全事故应急救援工作。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（7）根据同级人民政府的授权，负责对下级人民政府、同级政府有关部门、有关单位的年度安全生产目标管理及考核工作。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8）组织、指导、协调安全生产宣传教育工作。负责安全监管人员、特种作业人员（煤矿特种作业人员和起重机械、电梯、锅炉、压力容器等特种设备作业人员除外）和生产经营单位主要负责人、安全生产管理人员安全资格培训、考核、发证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（9）负责安全检测检验、安全评价、安全培训、安全咨询等社会中介组织的资质许可和监督管理以及劳动防护用品的管理工作，指导、协调安全生产检测检验工作。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（10）负责职责范围内的安全生产应急救援专业队伍的资质认定、管理和安全生产应急救援专业人员的培训、考核、发证工作。贯彻实施注册安全工程师执业资格制度，负责注册安全工程师培训和注册管理工作。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（11）负责新建、改建、扩建项目安全设施设计审查、备案和竣工验收工作。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12）负责用人单位（煤矿除外）作业场所职业卫生的行政许可、监督检查和使用有毒物品作业场所的职业卫生安全许可、建设项目“三同时”监督管理、职业安全（健康）卫生培训、职业病危害项目申报和职业健康监护工作；负责职业卫生技术服务机构的资质认定与监督管理；组织查处职业病危害事故和违法违规行为。</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（13）拟定安全生产发展规划、安全生产科技发展规划和职业病防治规划，组织、指导安全生产科学技术研究、科研成果的鉴定和先进技术推广、示范工作。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（14）牵头组织推广全省系统内安全生产责任保险工作。</w:t>
      </w:r>
    </w:p>
    <w:p>
      <w:pPr>
        <w:spacing w:after="0" w:line="500" w:lineRule="exact"/>
        <w:ind w:firstLine="480" w:firstLineChars="150"/>
        <w:rPr>
          <w:rFonts w:ascii="仿宋" w:hAnsi="仿宋" w:eastAsia="仿宋"/>
          <w:sz w:val="32"/>
          <w:szCs w:val="32"/>
        </w:rPr>
      </w:pPr>
      <w:r>
        <w:rPr>
          <w:rFonts w:hint="eastAsia" w:ascii="仿宋" w:hAnsi="仿宋" w:eastAsia="仿宋"/>
          <w:sz w:val="32"/>
          <w:szCs w:val="32"/>
        </w:rPr>
        <w:t>（15）承办同级人民政府、安全生产委员会以及上级安全监管部门交办的其他事项。</w:t>
      </w:r>
    </w:p>
    <w:p>
      <w:pPr>
        <w:spacing w:after="0" w:line="500" w:lineRule="exact"/>
        <w:ind w:firstLine="640" w:firstLineChars="200"/>
        <w:rPr>
          <w:rFonts w:ascii="仿宋" w:hAnsi="仿宋" w:eastAsia="仿宋"/>
          <w:sz w:val="32"/>
          <w:szCs w:val="32"/>
        </w:rPr>
      </w:pPr>
      <w:r>
        <w:rPr>
          <w:rFonts w:hint="eastAsia" w:ascii="仿宋" w:hAnsi="仿宋" w:eastAsia="仿宋"/>
          <w:sz w:val="32"/>
          <w:szCs w:val="32"/>
        </w:rPr>
        <w:t>2.机构情况：由冷水滩区安监局构成这次部门决算。区安监局设办公室、烟危股、矿山安全监管股、工贸行业安全监管股、综合协调股、综合法规股、职业安全健康监管股、宣教股；下属机构有执法大队、应急救援办。</w:t>
      </w:r>
    </w:p>
    <w:p>
      <w:pPr>
        <w:spacing w:after="0" w:line="500" w:lineRule="exact"/>
        <w:ind w:firstLine="640" w:firstLineChars="200"/>
        <w:rPr>
          <w:rFonts w:ascii="仿宋" w:hAnsi="仿宋" w:eastAsia="仿宋"/>
          <w:sz w:val="32"/>
          <w:szCs w:val="32"/>
        </w:rPr>
      </w:pPr>
      <w:r>
        <w:rPr>
          <w:rFonts w:hint="eastAsia" w:ascii="仿宋" w:hAnsi="仿宋" w:eastAsia="仿宋"/>
          <w:sz w:val="32"/>
          <w:szCs w:val="32"/>
        </w:rPr>
        <w:t>3.人员情况：局机关编制6人，执法大队编制人员6人，应急救援办6人。单位实有人数45人，其中借出人员3人，借入人员1人，退休人员7人。</w:t>
      </w:r>
    </w:p>
    <w:p>
      <w:pPr>
        <w:spacing w:after="0" w:line="500" w:lineRule="exact"/>
        <w:ind w:firstLine="600" w:firstLineChars="200"/>
        <w:rPr>
          <w:rFonts w:ascii="微软雅黑" w:hAnsi="微软雅黑" w:cs="Times New Roman"/>
          <w:sz w:val="30"/>
          <w:szCs w:val="30"/>
        </w:rPr>
      </w:pPr>
      <w:r>
        <w:rPr>
          <w:rFonts w:ascii="微软雅黑" w:hAnsi="微软雅黑" w:cs="Times New Roman"/>
          <w:sz w:val="30"/>
          <w:szCs w:val="30"/>
        </w:rPr>
        <w:t>（二）</w:t>
      </w:r>
      <w:r>
        <w:rPr>
          <w:rFonts w:hint="eastAsia" w:ascii="微软雅黑" w:hAnsi="微软雅黑" w:cs="Times New Roman"/>
          <w:color w:val="000000"/>
          <w:sz w:val="30"/>
          <w:szCs w:val="30"/>
        </w:rPr>
        <w:t>2018</w:t>
      </w:r>
      <w:r>
        <w:rPr>
          <w:rFonts w:ascii="微软雅黑" w:hAnsi="微软雅黑" w:cs="Times New Roman"/>
          <w:sz w:val="30"/>
          <w:szCs w:val="30"/>
        </w:rPr>
        <w:t>年的重点工作</w:t>
      </w:r>
    </w:p>
    <w:p>
      <w:pPr>
        <w:spacing w:after="0" w:line="500" w:lineRule="exact"/>
        <w:ind w:firstLine="640"/>
        <w:rPr>
          <w:rFonts w:ascii="仿宋" w:hAnsi="仿宋" w:eastAsia="仿宋" w:cs="Times New Roman"/>
          <w:sz w:val="32"/>
          <w:szCs w:val="32"/>
        </w:rPr>
      </w:pPr>
      <w:r>
        <w:rPr>
          <w:rFonts w:hint="eastAsia" w:ascii="仿宋" w:hAnsi="仿宋" w:eastAsia="仿宋" w:cs="Times New Roman"/>
          <w:sz w:val="32"/>
          <w:szCs w:val="32"/>
        </w:rPr>
        <w:t>2018年我局的主要工作任务：一是</w:t>
      </w:r>
      <w:r>
        <w:rPr>
          <w:rFonts w:hint="eastAsia" w:ascii="仿宋" w:hAnsi="仿宋" w:eastAsia="仿宋" w:cs="仿宋"/>
          <w:sz w:val="32"/>
          <w:szCs w:val="32"/>
        </w:rPr>
        <w:t>认真贯彻落实《湖南省党政领导干部安全生产责任制规定实施细则》，进一步强化“党政同责、一岗双责、齐抓共管、失职追责”要求。二是</w:t>
      </w:r>
      <w:r>
        <w:rPr>
          <w:rFonts w:hint="eastAsia" w:ascii="仿宋" w:hAnsi="仿宋" w:eastAsia="仿宋" w:cs="宋体"/>
          <w:sz w:val="32"/>
          <w:szCs w:val="32"/>
        </w:rPr>
        <w:t>深入开展“安全生产</w:t>
      </w:r>
      <w:r>
        <w:rPr>
          <w:rFonts w:hint="eastAsia" w:ascii="仿宋" w:hAnsi="仿宋" w:eastAsia="仿宋" w:cs="仿宋_GB2312"/>
          <w:sz w:val="32"/>
          <w:szCs w:val="32"/>
        </w:rPr>
        <w:t>大排查大管控大整治百日行动</w:t>
      </w:r>
      <w:r>
        <w:rPr>
          <w:rFonts w:hint="eastAsia" w:ascii="仿宋" w:hAnsi="仿宋" w:eastAsia="仿宋" w:cs="宋体"/>
          <w:sz w:val="32"/>
          <w:szCs w:val="32"/>
        </w:rPr>
        <w:t>”。 三是扎实开展“5.12防灾减灾日”宣传活动，认真筹备安全生产月活动。四是</w:t>
      </w:r>
      <w:r>
        <w:rPr>
          <w:rFonts w:hint="eastAsia" w:ascii="仿宋" w:hAnsi="仿宋" w:eastAsia="仿宋" w:cs="Times New Roman"/>
          <w:sz w:val="32"/>
          <w:szCs w:val="32"/>
        </w:rPr>
        <w:t>按照“政府引导、部门监管、企业落实、注重实效”的要求，在全区各类生产经营单位中开展“落实企业安全生产主体责任年”活动。五是</w:t>
      </w:r>
      <w:r>
        <w:rPr>
          <w:rFonts w:hint="eastAsia" w:ascii="仿宋" w:hAnsi="仿宋" w:eastAsia="仿宋" w:cs="楷体"/>
          <w:bCs/>
          <w:sz w:val="32"/>
          <w:szCs w:val="32"/>
        </w:rPr>
        <w:t>持续开展安全生产监管执法工作。</w:t>
      </w:r>
      <w:r>
        <w:rPr>
          <w:rFonts w:hint="eastAsia" w:ascii="仿宋" w:hAnsi="仿宋" w:eastAsia="仿宋" w:cs="楷体"/>
          <w:sz w:val="32"/>
          <w:szCs w:val="32"/>
        </w:rPr>
        <w:t>加强应急管理机构建设，逐步构建运转有序的防灾减灾体系。</w:t>
      </w:r>
    </w:p>
    <w:p>
      <w:pPr>
        <w:spacing w:after="0" w:line="500" w:lineRule="exact"/>
        <w:ind w:firstLine="600" w:firstLineChars="200"/>
        <w:rPr>
          <w:rFonts w:ascii="宋体" w:hAnsi="宋体" w:cs="Times New Roman"/>
          <w:sz w:val="30"/>
          <w:szCs w:val="30"/>
        </w:rPr>
      </w:pPr>
      <w:r>
        <w:rPr>
          <w:rFonts w:ascii="宋体" w:hAnsi="宋体" w:cs="Times New Roman"/>
          <w:sz w:val="30"/>
          <w:szCs w:val="30"/>
        </w:rPr>
        <w:t>（三）部门整体支出情况</w:t>
      </w:r>
    </w:p>
    <w:p>
      <w:pPr>
        <w:spacing w:after="0" w:line="500" w:lineRule="exact"/>
        <w:ind w:firstLine="640" w:firstLineChars="200"/>
        <w:rPr>
          <w:rFonts w:ascii="仿宋" w:hAnsi="仿宋" w:eastAsia="仿宋" w:cs="宋体"/>
          <w:sz w:val="32"/>
          <w:szCs w:val="32"/>
        </w:rPr>
      </w:pPr>
      <w:r>
        <w:rPr>
          <w:rFonts w:hint="eastAsia" w:ascii="仿宋" w:hAnsi="仿宋" w:eastAsia="仿宋"/>
          <w:sz w:val="32"/>
          <w:szCs w:val="32"/>
        </w:rPr>
        <w:t>冷水滩区安监局</w:t>
      </w:r>
      <w:r>
        <w:rPr>
          <w:rFonts w:ascii="仿宋" w:hAnsi="仿宋" w:eastAsia="仿宋"/>
          <w:sz w:val="32"/>
          <w:szCs w:val="32"/>
        </w:rPr>
        <w:t>201</w:t>
      </w:r>
      <w:r>
        <w:rPr>
          <w:rFonts w:hint="eastAsia" w:ascii="仿宋" w:hAnsi="仿宋" w:eastAsia="仿宋"/>
          <w:sz w:val="32"/>
          <w:szCs w:val="32"/>
        </w:rPr>
        <w:t>8年整体支出657.5万元，其中</w:t>
      </w:r>
      <w:r>
        <w:rPr>
          <w:rFonts w:hint="eastAsia" w:ascii="仿宋" w:hAnsi="仿宋" w:eastAsia="仿宋" w:cs="宋体"/>
          <w:sz w:val="32"/>
          <w:szCs w:val="32"/>
        </w:rPr>
        <w:t>基本支出为393万元，专项资金264.5万元。</w:t>
      </w:r>
    </w:p>
    <w:p>
      <w:pPr>
        <w:spacing w:after="0" w:line="500" w:lineRule="exact"/>
        <w:ind w:firstLine="600" w:firstLineChars="200"/>
        <w:rPr>
          <w:rFonts w:ascii="宋体" w:hAnsi="宋体" w:cs="Times New Roman"/>
          <w:b/>
          <w:sz w:val="30"/>
          <w:szCs w:val="30"/>
        </w:rPr>
      </w:pPr>
      <w:r>
        <w:rPr>
          <w:rFonts w:ascii="宋体" w:hAnsi="宋体" w:cs="Times New Roman"/>
          <w:b/>
          <w:sz w:val="30"/>
          <w:szCs w:val="30"/>
        </w:rPr>
        <w:t>二、部门整体支出管理及使用情况</w:t>
      </w:r>
    </w:p>
    <w:p>
      <w:pPr>
        <w:spacing w:after="0" w:line="500" w:lineRule="exact"/>
        <w:ind w:firstLine="600" w:firstLineChars="200"/>
        <w:rPr>
          <w:rFonts w:ascii="宋体" w:hAnsi="宋体" w:cs="Times New Roman"/>
          <w:sz w:val="30"/>
          <w:szCs w:val="30"/>
        </w:rPr>
      </w:pPr>
      <w:r>
        <w:rPr>
          <w:rFonts w:ascii="宋体" w:hAnsi="宋体" w:cs="Times New Roman"/>
          <w:sz w:val="30"/>
          <w:szCs w:val="30"/>
        </w:rPr>
        <w:t>（一）基本支出情况。</w:t>
      </w:r>
    </w:p>
    <w:p>
      <w:pPr>
        <w:spacing w:after="0" w:line="500" w:lineRule="exact"/>
        <w:ind w:firstLine="600" w:firstLineChars="200"/>
        <w:rPr>
          <w:rFonts w:ascii="仿宋" w:hAnsi="仿宋" w:eastAsia="仿宋" w:cs="Times New Roman"/>
          <w:sz w:val="32"/>
          <w:szCs w:val="32"/>
        </w:rPr>
      </w:pPr>
      <w:r>
        <w:rPr>
          <w:rFonts w:hint="eastAsia" w:ascii="宋体" w:hAnsi="宋体" w:cs="Times New Roman"/>
          <w:sz w:val="30"/>
          <w:szCs w:val="30"/>
        </w:rPr>
        <w:t xml:space="preserve">  </w:t>
      </w:r>
      <w:r>
        <w:rPr>
          <w:rFonts w:hint="eastAsia" w:ascii="仿宋" w:hAnsi="仿宋" w:eastAsia="仿宋" w:cs="Times New Roman"/>
          <w:sz w:val="32"/>
          <w:szCs w:val="32"/>
        </w:rPr>
        <w:t>我局2018年基本支出为393万元，其中工资福利支出375.5万元，主要用于全局干部职工的基本工资、绩效工资、奖励工资、住房公积金等；一般商品与服务支出17.5万元，含办公费4.48万元，电费2.45万元，印刷费2.3万元，邮电费0.8万元，其他交通费用0.97万元，会议费1.2万元，培训费1.1万元，其他商品服务支出4.2万元。</w:t>
      </w:r>
    </w:p>
    <w:p>
      <w:pPr>
        <w:spacing w:after="0" w:line="500" w:lineRule="exact"/>
        <w:ind w:firstLine="600" w:firstLineChars="200"/>
        <w:rPr>
          <w:rFonts w:ascii="宋体" w:hAnsi="宋体" w:cs="Times New Roman"/>
          <w:sz w:val="30"/>
          <w:szCs w:val="30"/>
        </w:rPr>
      </w:pPr>
      <w:r>
        <w:rPr>
          <w:rFonts w:ascii="宋体" w:hAnsi="宋体" w:cs="Times New Roman"/>
          <w:sz w:val="30"/>
          <w:szCs w:val="30"/>
        </w:rPr>
        <w:t>（二）项目支出情况。</w:t>
      </w:r>
    </w:p>
    <w:p>
      <w:pPr>
        <w:spacing w:after="0"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局2018年项目支出为264.5万元，其中安全生产奖励基金支出5万元，安全生产经费支出102万元，重大安全生产隐患及重大事故整治基金63.8万元，安委会经费2万元，纳入预算内管理的非税收入支出66.66万元，纳入财政专户管理的非税收入支出25.04万元。</w:t>
      </w:r>
    </w:p>
    <w:p>
      <w:pPr>
        <w:spacing w:after="0" w:line="500" w:lineRule="exact"/>
        <w:ind w:firstLine="600" w:firstLineChars="200"/>
        <w:rPr>
          <w:rFonts w:ascii="宋体" w:hAnsi="宋体" w:cs="Times New Roman"/>
          <w:sz w:val="30"/>
          <w:szCs w:val="30"/>
        </w:rPr>
      </w:pPr>
      <w:r>
        <w:rPr>
          <w:rFonts w:ascii="宋体" w:hAnsi="宋体" w:cs="Times New Roman"/>
          <w:sz w:val="30"/>
          <w:szCs w:val="30"/>
        </w:rPr>
        <w:t>（三）“三公”经费情况</w:t>
      </w:r>
    </w:p>
    <w:p>
      <w:pPr>
        <w:spacing w:after="0" w:line="500" w:lineRule="exact"/>
        <w:ind w:firstLine="600" w:firstLineChars="200"/>
        <w:rPr>
          <w:rFonts w:ascii="仿宋" w:hAnsi="仿宋" w:eastAsia="仿宋" w:cs="Times New Roman"/>
          <w:sz w:val="32"/>
          <w:szCs w:val="32"/>
        </w:rPr>
      </w:pPr>
      <w:r>
        <w:rPr>
          <w:rFonts w:hint="eastAsia" w:ascii="宋体" w:hAnsi="宋体" w:cs="Times New Roman"/>
          <w:sz w:val="30"/>
          <w:szCs w:val="30"/>
        </w:rPr>
        <w:t>1.</w:t>
      </w:r>
      <w:r>
        <w:rPr>
          <w:rFonts w:ascii="宋体" w:hAnsi="宋体" w:cs="Times New Roman"/>
          <w:sz w:val="30"/>
          <w:szCs w:val="30"/>
        </w:rPr>
        <w:t>因公出国（境）费用</w:t>
      </w:r>
      <w:r>
        <w:rPr>
          <w:rFonts w:hint="eastAsia" w:ascii="宋体" w:hAnsi="宋体" w:cs="Times New Roman"/>
          <w:sz w:val="30"/>
          <w:szCs w:val="30"/>
        </w:rPr>
        <w:t>：</w:t>
      </w:r>
      <w:r>
        <w:rPr>
          <w:rFonts w:hint="eastAsia" w:ascii="仿宋" w:hAnsi="仿宋" w:eastAsia="仿宋" w:cs="Times New Roman"/>
          <w:sz w:val="32"/>
          <w:szCs w:val="32"/>
        </w:rPr>
        <w:t>无</w:t>
      </w:r>
      <w:r>
        <w:rPr>
          <w:rFonts w:ascii="仿宋" w:hAnsi="仿宋" w:eastAsia="仿宋" w:cs="Times New Roman"/>
          <w:sz w:val="32"/>
          <w:szCs w:val="32"/>
        </w:rPr>
        <w:t>因公出国（境）费用</w:t>
      </w:r>
    </w:p>
    <w:p>
      <w:pPr>
        <w:spacing w:after="0" w:line="500" w:lineRule="exact"/>
        <w:ind w:firstLine="600" w:firstLineChars="200"/>
        <w:rPr>
          <w:rFonts w:ascii="仿宋" w:hAnsi="仿宋" w:eastAsia="仿宋" w:cs="Times New Roman"/>
          <w:sz w:val="32"/>
          <w:szCs w:val="32"/>
        </w:rPr>
      </w:pPr>
      <w:r>
        <w:rPr>
          <w:rFonts w:hint="eastAsia" w:ascii="宋体" w:hAnsi="宋体" w:cs="Times New Roman"/>
          <w:sz w:val="30"/>
          <w:szCs w:val="30"/>
        </w:rPr>
        <w:t>2.</w:t>
      </w:r>
      <w:r>
        <w:rPr>
          <w:rFonts w:ascii="宋体" w:hAnsi="宋体" w:cs="Times New Roman"/>
          <w:sz w:val="30"/>
          <w:szCs w:val="30"/>
        </w:rPr>
        <w:t>公务接待费</w:t>
      </w:r>
      <w:r>
        <w:rPr>
          <w:rFonts w:hint="eastAsia" w:ascii="宋体" w:hAnsi="宋体" w:cs="Times New Roman"/>
          <w:sz w:val="30"/>
          <w:szCs w:val="30"/>
        </w:rPr>
        <w:t>：</w:t>
      </w:r>
      <w:r>
        <w:rPr>
          <w:rFonts w:hint="eastAsia" w:ascii="仿宋" w:hAnsi="仿宋" w:eastAsia="仿宋" w:cs="Times New Roman"/>
          <w:sz w:val="32"/>
          <w:szCs w:val="32"/>
        </w:rPr>
        <w:t>2018年我局公务接待费支出9.9万元。</w:t>
      </w:r>
    </w:p>
    <w:p>
      <w:pPr>
        <w:spacing w:after="0" w:line="500" w:lineRule="exact"/>
        <w:ind w:firstLine="600" w:firstLineChars="200"/>
        <w:rPr>
          <w:rFonts w:ascii="仿宋" w:hAnsi="仿宋" w:eastAsia="仿宋" w:cs="Times New Roman"/>
          <w:sz w:val="32"/>
          <w:szCs w:val="32"/>
        </w:rPr>
      </w:pPr>
      <w:r>
        <w:rPr>
          <w:rFonts w:hint="eastAsia" w:ascii="宋体" w:hAnsi="宋体" w:cs="Times New Roman"/>
          <w:sz w:val="30"/>
          <w:szCs w:val="30"/>
        </w:rPr>
        <w:t>3.</w:t>
      </w:r>
      <w:r>
        <w:rPr>
          <w:rFonts w:ascii="宋体" w:hAnsi="宋体" w:cs="Times New Roman"/>
          <w:sz w:val="30"/>
          <w:szCs w:val="30"/>
        </w:rPr>
        <w:t>公务用车购置及运行费。</w:t>
      </w:r>
      <w:r>
        <w:rPr>
          <w:rFonts w:hint="eastAsia" w:ascii="仿宋" w:hAnsi="仿宋" w:eastAsia="仿宋" w:cs="Times New Roman"/>
          <w:sz w:val="32"/>
          <w:szCs w:val="32"/>
        </w:rPr>
        <w:t>2018年我局无公务用车购置支出，公务用车取消后本单位无公务用车，因此无公务用车运行费开支。</w:t>
      </w:r>
    </w:p>
    <w:p>
      <w:pPr>
        <w:spacing w:after="0" w:line="500" w:lineRule="exact"/>
        <w:ind w:firstLine="600" w:firstLineChars="200"/>
        <w:rPr>
          <w:rFonts w:ascii="宋体" w:hAnsi="宋体" w:cs="Times New Roman"/>
          <w:b/>
          <w:sz w:val="30"/>
          <w:szCs w:val="30"/>
        </w:rPr>
      </w:pPr>
      <w:r>
        <w:rPr>
          <w:rFonts w:ascii="宋体" w:hAnsi="宋体" w:cs="Times New Roman"/>
          <w:b/>
          <w:sz w:val="30"/>
          <w:szCs w:val="30"/>
        </w:rPr>
        <w:t>三、部门整体支出绩效情况</w:t>
      </w:r>
    </w:p>
    <w:p>
      <w:pPr>
        <w:spacing w:after="0"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2018年，全区上下在市委、市政府和区委、区政府的正确领导下，牢固树立安全发展理念，牢记</w:t>
      </w:r>
      <w:r>
        <w:rPr>
          <w:rFonts w:hint="eastAsia" w:ascii="仿宋" w:hAnsi="仿宋" w:eastAsia="仿宋" w:cs="Times New Roman"/>
          <w:sz w:val="32"/>
          <w:szCs w:val="32"/>
          <w:lang w:val="en-US" w:eastAsia="zh-CN"/>
        </w:rPr>
        <w:t>习近平</w:t>
      </w:r>
      <w:bookmarkStart w:id="0" w:name="_GoBack"/>
      <w:bookmarkEnd w:id="0"/>
      <w:r>
        <w:rPr>
          <w:rFonts w:hint="eastAsia" w:ascii="仿宋" w:hAnsi="仿宋" w:eastAsia="仿宋" w:cs="Times New Roman"/>
          <w:sz w:val="32"/>
          <w:szCs w:val="32"/>
        </w:rPr>
        <w:t>总书记提出的发展决不以牺牲安全为红线这根底线，以保市先进争省先进为目标，深入贯彻落实安全生产“四核四化”新理念，不断压实“四方”责任，开展“四全”宣传教育，以常态化开展“打非治违”和“强执法防事故”行动为抓手，排查和整改各类安全隐患，全力防范各类安全风险。2018年全区发生生产安全事故1起，死亡1人，杜绝了较大及以上生产安全事故的发生，全区安全生产形势持续稳定向好。</w:t>
      </w:r>
    </w:p>
    <w:p>
      <w:pPr>
        <w:spacing w:after="0"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年来，全区各级各部门依法履职尽责，推动安全生产工作不断取得新成绩，涌现出许多深入一线、勇于担当、辛勤奉献的模范典型。又一村、清桥、湖塘等社区充分发挥综治网格平台，建立安全生产“一格一员、综合履职”机制，随时排查、掌握、上报各类公共安全隐患信息。蔡市、牛角坝、梅湾、凤凰、珊瑚、马坪、岚角山等乡镇（街道）顺利通过市级安全生产示范乡镇（街道）的复核验收。梅湾街道、杨村甸乡、蔡市镇、花桥街镇、区交通运输局、区安监局、区教育局等单位和部门深入“打非治违”专项行动，严格监管执法，不断推动属地管理责任、部门监管责任的落地生根。重庆国人啤酒、恒伟制药、弘电电子等企业以“安全零隐患、服务零投诉、管理零容忍”为管理理念，开展了安全文化企业创建等一系列工作，树立了落实企业安全生产主体责任的典范。黄阳司镇被评为2018年度省级安全生产示范乡镇，罗彩虹同志被评为全市安监女英雄。在省市年终安全生产考核中，我区被评为2018年度全省安全生产工作优秀县区，为近年来安全生产工作取得的最好成绩。</w:t>
      </w:r>
    </w:p>
    <w:p>
      <w:pPr>
        <w:spacing w:after="0" w:line="500" w:lineRule="exact"/>
        <w:ind w:firstLine="600" w:firstLineChars="200"/>
        <w:rPr>
          <w:rFonts w:ascii="宋体" w:hAnsi="宋体" w:cs="Times New Roman"/>
          <w:b/>
          <w:sz w:val="30"/>
          <w:szCs w:val="30"/>
        </w:rPr>
      </w:pPr>
      <w:r>
        <w:rPr>
          <w:rFonts w:hint="eastAsia" w:ascii="宋体" w:hAnsi="宋体" w:cs="Times New Roman"/>
          <w:b/>
          <w:sz w:val="30"/>
          <w:szCs w:val="30"/>
        </w:rPr>
        <w:t>四、绩效自评得分情况及绩效等级。</w:t>
      </w:r>
    </w:p>
    <w:p>
      <w:pPr>
        <w:spacing w:after="0"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综合以上各项指标，财务管理健全规范，没有发生违法违规现象，我局2018年的部门整体支出绩效自我评价为优秀。</w:t>
      </w:r>
    </w:p>
    <w:p>
      <w:pPr>
        <w:spacing w:after="0" w:line="500" w:lineRule="exact"/>
        <w:ind w:firstLine="600" w:firstLineChars="200"/>
        <w:rPr>
          <w:rFonts w:ascii="宋体" w:hAnsi="宋体" w:cs="Times New Roman"/>
          <w:b/>
          <w:sz w:val="30"/>
          <w:szCs w:val="30"/>
        </w:rPr>
      </w:pPr>
      <w:r>
        <w:rPr>
          <w:rFonts w:hint="eastAsia" w:ascii="宋体" w:hAnsi="宋体" w:cs="Times New Roman"/>
          <w:b/>
          <w:sz w:val="30"/>
          <w:szCs w:val="30"/>
        </w:rPr>
        <w:t>五</w:t>
      </w:r>
      <w:r>
        <w:rPr>
          <w:rFonts w:ascii="宋体" w:hAnsi="宋体" w:cs="Times New Roman"/>
          <w:b/>
          <w:sz w:val="30"/>
          <w:szCs w:val="30"/>
        </w:rPr>
        <w:t>、存在的问题</w:t>
      </w:r>
    </w:p>
    <w:p>
      <w:pPr>
        <w:spacing w:after="0"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工作机制有待进一步完善，未形成对绩效目标进行监控的习惯。</w:t>
      </w:r>
    </w:p>
    <w:p>
      <w:pPr>
        <w:spacing w:after="0" w:line="500" w:lineRule="exact"/>
        <w:ind w:firstLine="600" w:firstLineChars="200"/>
        <w:rPr>
          <w:rFonts w:ascii="宋体" w:hAnsi="宋体" w:cs="Times New Roman"/>
          <w:sz w:val="30"/>
          <w:szCs w:val="30"/>
        </w:rPr>
      </w:pPr>
      <w:r>
        <w:rPr>
          <w:rFonts w:hint="eastAsia" w:ascii="宋体" w:hAnsi="宋体" w:cs="Times New Roman"/>
          <w:b/>
          <w:sz w:val="30"/>
          <w:szCs w:val="30"/>
        </w:rPr>
        <w:t>六</w:t>
      </w:r>
      <w:r>
        <w:rPr>
          <w:rFonts w:ascii="宋体" w:hAnsi="宋体" w:cs="Times New Roman"/>
          <w:b/>
          <w:sz w:val="30"/>
          <w:szCs w:val="30"/>
        </w:rPr>
        <w:t>、改进措施和有关建议</w:t>
      </w:r>
    </w:p>
    <w:p>
      <w:pPr>
        <w:spacing w:after="0" w:line="500" w:lineRule="exact"/>
        <w:ind w:firstLine="640" w:firstLineChars="200"/>
        <w:rPr>
          <w:rFonts w:ascii="宋体" w:hAnsi="宋体" w:cs="Times New Roman"/>
          <w:sz w:val="30"/>
          <w:szCs w:val="30"/>
        </w:rPr>
      </w:pPr>
      <w:r>
        <w:rPr>
          <w:rFonts w:hint="eastAsia" w:ascii="仿宋" w:hAnsi="仿宋" w:eastAsia="仿宋" w:cs="Times New Roman"/>
          <w:sz w:val="32"/>
          <w:szCs w:val="32"/>
        </w:rPr>
        <w:t>我们将在以后的工作中加强预算管理，进一步完善工作机制，对绩效目标随时进行监控，严格控制各项经费的开支，提高经费的使用效率。</w:t>
      </w:r>
    </w:p>
    <w:p>
      <w:pPr>
        <w:spacing w:after="0" w:line="500" w:lineRule="exact"/>
        <w:rPr>
          <w:sz w:val="32"/>
          <w:szCs w:val="32"/>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543ACB"/>
    <w:rsid w:val="007E00D5"/>
    <w:rsid w:val="008B7726"/>
    <w:rsid w:val="00D31D50"/>
    <w:rsid w:val="00EB526C"/>
    <w:rsid w:val="570E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421</Words>
  <Characters>2406</Characters>
  <Lines>20</Lines>
  <Paragraphs>5</Paragraphs>
  <TotalTime>1</TotalTime>
  <ScaleCrop>false</ScaleCrop>
  <LinksUpToDate>false</LinksUpToDate>
  <CharactersWithSpaces>2822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2021-06-19T08:21:10Z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