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6AEF3C">
      <w:pPr>
        <w:rPr>
          <w:rFonts w:eastAsia="仿宋_GB2312"/>
          <w:sz w:val="32"/>
          <w:szCs w:val="32"/>
        </w:rPr>
      </w:pPr>
      <w:bookmarkStart w:id="0" w:name="_GoBack"/>
      <w:bookmarkEnd w:id="0"/>
      <w:r>
        <w:rPr>
          <w:rFonts w:hint="eastAsia" w:ascii="仿宋_GB2312" w:hAnsi="仿宋_GB2312" w:eastAsia="仿宋_GB2312" w:cs="仿宋_GB2312"/>
          <w:sz w:val="32"/>
          <w:szCs w:val="32"/>
        </w:rPr>
        <w:t>附件3</w:t>
      </w:r>
      <w:r>
        <w:rPr>
          <w:rFonts w:hint="eastAsia" w:eastAsia="仿宋_GB2312"/>
          <w:sz w:val="32"/>
          <w:szCs w:val="32"/>
        </w:rPr>
        <w:t>：</w:t>
      </w:r>
    </w:p>
    <w:p w14:paraId="3CB65B91">
      <w:pPr>
        <w:jc w:val="center"/>
        <w:rPr>
          <w:rFonts w:eastAsia="楷体_GB2312"/>
        </w:rPr>
      </w:pPr>
      <w:r>
        <w:rPr>
          <w:rFonts w:hint="eastAsia" w:asciiTheme="majorEastAsia" w:hAnsiTheme="majorEastAsia" w:eastAsiaTheme="majorEastAsia" w:cstheme="majorEastAsia"/>
          <w:color w:val="000000"/>
          <w:sz w:val="36"/>
          <w:szCs w:val="36"/>
          <w:lang w:val="en-US" w:eastAsia="zh-CN"/>
        </w:rPr>
        <w:t>冷水滩区工业企业改制服务办公室</w:t>
      </w:r>
      <w:r>
        <w:rPr>
          <w:rFonts w:hint="eastAsia" w:asciiTheme="majorEastAsia" w:hAnsiTheme="majorEastAsia" w:eastAsiaTheme="majorEastAsia" w:cstheme="majorEastAsia"/>
          <w:color w:val="000000"/>
          <w:sz w:val="36"/>
          <w:szCs w:val="36"/>
        </w:rPr>
        <w:t>2019</w:t>
      </w:r>
      <w:r>
        <w:rPr>
          <w:rFonts w:hint="eastAsia" w:asciiTheme="majorEastAsia" w:hAnsiTheme="majorEastAsia" w:eastAsiaTheme="majorEastAsia" w:cstheme="majorEastAsia"/>
          <w:sz w:val="36"/>
          <w:szCs w:val="36"/>
        </w:rPr>
        <w:t>年度部门整体支出绩效自评报告</w:t>
      </w:r>
    </w:p>
    <w:p w14:paraId="6EE8C286">
      <w:pPr>
        <w:ind w:firstLine="440" w:firstLineChars="200"/>
        <w:jc w:val="center"/>
      </w:pPr>
    </w:p>
    <w:p w14:paraId="36D6E2BB">
      <w:pPr>
        <w:pageBreakBefore w:val="0"/>
        <w:widowControl/>
        <w:kinsoku/>
        <w:wordWrap/>
        <w:overflowPunct/>
        <w:topLinePunct w:val="0"/>
        <w:bidi w:val="0"/>
        <w:spacing w:line="600" w:lineRule="exact"/>
        <w:ind w:firstLine="643" w:firstLineChars="200"/>
        <w:rPr>
          <w:rFonts w:hint="eastAsia" w:ascii="仿宋" w:hAnsi="仿宋" w:eastAsia="仿宋" w:cs="仿宋"/>
          <w:b/>
          <w:sz w:val="32"/>
          <w:szCs w:val="32"/>
        </w:rPr>
      </w:pPr>
      <w:r>
        <w:rPr>
          <w:rFonts w:hint="eastAsia" w:ascii="仿宋" w:hAnsi="仿宋" w:eastAsia="仿宋" w:cs="仿宋"/>
          <w:b/>
          <w:sz w:val="32"/>
          <w:szCs w:val="32"/>
        </w:rPr>
        <w:t>一、部门概况</w:t>
      </w:r>
    </w:p>
    <w:p w14:paraId="502E2C89">
      <w:pPr>
        <w:pageBreakBefore w:val="0"/>
        <w:widowControl/>
        <w:kinsoku/>
        <w:wordWrap/>
        <w:overflowPunct/>
        <w:topLinePunct w:val="0"/>
        <w:bidi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（一）部门基本情况。</w:t>
      </w:r>
    </w:p>
    <w:p w14:paraId="2FD315D9">
      <w:pPr>
        <w:pageBreakBefore w:val="0"/>
        <w:widowControl/>
        <w:kinsoku/>
        <w:wordWrap/>
        <w:overflowPunct/>
        <w:topLinePunct w:val="0"/>
        <w:bidi w:val="0"/>
        <w:spacing w:beforeLines="0" w:afterLines="0" w:line="600" w:lineRule="exact"/>
        <w:ind w:firstLine="640"/>
        <w:rPr>
          <w:rFonts w:hint="eastAsia" w:ascii="仿宋" w:hAnsi="仿宋" w:eastAsia="仿宋" w:cs="仿宋"/>
          <w:sz w:val="32"/>
          <w:szCs w:val="32"/>
          <w:lang w:val="en-US"/>
        </w:rPr>
      </w:pPr>
      <w:r>
        <w:rPr>
          <w:rFonts w:hint="eastAsia" w:ascii="仿宋" w:hAnsi="仿宋" w:eastAsia="仿宋" w:cs="仿宋"/>
          <w:b/>
          <w:bCs/>
          <w:sz w:val="32"/>
          <w:szCs w:val="32"/>
          <w:lang w:val="en-US"/>
        </w:rPr>
        <w:t>1</w:t>
      </w:r>
      <w:r>
        <w:rPr>
          <w:rFonts w:hint="eastAsia" w:ascii="仿宋" w:hAnsi="仿宋" w:eastAsia="仿宋" w:cs="仿宋"/>
          <w:b/>
          <w:bCs/>
          <w:sz w:val="32"/>
          <w:szCs w:val="32"/>
          <w:lang w:val="en-US" w:eastAsia="zh-CN"/>
        </w:rPr>
        <w:t>、</w:t>
      </w:r>
      <w:r>
        <w:rPr>
          <w:rFonts w:hint="eastAsia" w:ascii="仿宋" w:hAnsi="仿宋" w:eastAsia="仿宋" w:cs="仿宋"/>
          <w:b/>
          <w:bCs/>
          <w:sz w:val="32"/>
          <w:szCs w:val="32"/>
          <w:lang w:val="en-US"/>
        </w:rPr>
        <w:t>主要职能。</w:t>
      </w:r>
    </w:p>
    <w:p w14:paraId="799F1525">
      <w:pPr>
        <w:pageBreakBefore w:val="0"/>
        <w:widowControl/>
        <w:kinsoku/>
        <w:wordWrap/>
        <w:overflowPunct/>
        <w:topLinePunct w:val="0"/>
        <w:bidi w:val="0"/>
        <w:spacing w:beforeLines="0" w:afterLines="0" w:line="600" w:lineRule="exact"/>
        <w:ind w:firstLine="320" w:firstLineChars="100"/>
        <w:rPr>
          <w:rFonts w:hint="eastAsia" w:ascii="仿宋" w:hAnsi="仿宋" w:eastAsia="仿宋" w:cs="仿宋"/>
          <w:sz w:val="32"/>
          <w:szCs w:val="32"/>
        </w:rPr>
      </w:pPr>
      <w:r>
        <w:rPr>
          <w:rFonts w:hint="eastAsia" w:ascii="仿宋" w:hAnsi="仿宋" w:eastAsia="仿宋" w:cs="仿宋"/>
          <w:sz w:val="32"/>
          <w:szCs w:val="32"/>
        </w:rPr>
        <w:t>（1）、贯彻落实党和国家的有关政策、法规；</w:t>
      </w:r>
    </w:p>
    <w:p w14:paraId="71F3277E">
      <w:pPr>
        <w:pageBreakBefore w:val="0"/>
        <w:widowControl/>
        <w:kinsoku/>
        <w:wordWrap/>
        <w:overflowPunct/>
        <w:topLinePunct w:val="0"/>
        <w:bidi w:val="0"/>
        <w:spacing w:beforeLines="0" w:afterLines="0" w:line="600" w:lineRule="exact"/>
        <w:ind w:firstLine="320" w:firstLineChars="100"/>
        <w:rPr>
          <w:rFonts w:hint="eastAsia" w:ascii="仿宋" w:hAnsi="仿宋" w:eastAsia="仿宋" w:cs="仿宋"/>
          <w:sz w:val="32"/>
          <w:szCs w:val="32"/>
        </w:rPr>
      </w:pPr>
      <w:r>
        <w:rPr>
          <w:rFonts w:hint="eastAsia" w:ascii="仿宋" w:hAnsi="仿宋" w:eastAsia="仿宋" w:cs="仿宋"/>
          <w:sz w:val="32"/>
          <w:szCs w:val="32"/>
        </w:rPr>
        <w:t>（2）、负责本单位国有资产管理；</w:t>
      </w:r>
    </w:p>
    <w:p w14:paraId="2239A3BB">
      <w:pPr>
        <w:pageBreakBefore w:val="0"/>
        <w:widowControl/>
        <w:kinsoku/>
        <w:wordWrap/>
        <w:overflowPunct/>
        <w:topLinePunct w:val="0"/>
        <w:bidi w:val="0"/>
        <w:spacing w:beforeLines="0" w:afterLines="0" w:line="600" w:lineRule="exact"/>
        <w:ind w:firstLine="320" w:firstLineChars="100"/>
        <w:rPr>
          <w:rFonts w:hint="eastAsia" w:ascii="仿宋" w:hAnsi="仿宋" w:eastAsia="仿宋" w:cs="仿宋"/>
          <w:sz w:val="32"/>
          <w:szCs w:val="32"/>
          <w:lang w:val="en-US" w:eastAsia="zh-CN"/>
        </w:rPr>
      </w:pPr>
      <w:r>
        <w:rPr>
          <w:rFonts w:hint="eastAsia" w:ascii="仿宋" w:hAnsi="仿宋" w:eastAsia="仿宋" w:cs="仿宋"/>
          <w:sz w:val="32"/>
          <w:szCs w:val="32"/>
        </w:rPr>
        <w:t>（3）、负责本单位退休人员的管理工作，落实退休人员的政治生活待遇</w:t>
      </w:r>
      <w:r>
        <w:rPr>
          <w:rFonts w:hint="eastAsia" w:ascii="仿宋" w:hAnsi="仿宋" w:eastAsia="仿宋" w:cs="仿宋"/>
          <w:sz w:val="32"/>
          <w:szCs w:val="32"/>
          <w:lang w:eastAsia="zh-CN"/>
        </w:rPr>
        <w:t>。</w:t>
      </w:r>
    </w:p>
    <w:p w14:paraId="263370C2">
      <w:pPr>
        <w:pageBreakBefore w:val="0"/>
        <w:widowControl/>
        <w:kinsoku/>
        <w:wordWrap/>
        <w:overflowPunct/>
        <w:topLinePunct w:val="0"/>
        <w:bidi w:val="0"/>
        <w:spacing w:beforeLines="0" w:afterLines="0" w:line="600" w:lineRule="exact"/>
        <w:ind w:firstLine="640"/>
        <w:rPr>
          <w:rFonts w:hint="eastAsia" w:ascii="仿宋" w:hAnsi="仿宋" w:eastAsia="仿宋" w:cs="仿宋"/>
          <w:sz w:val="32"/>
          <w:szCs w:val="32"/>
          <w:lang w:val="en-US"/>
        </w:rPr>
      </w:pPr>
      <w:r>
        <w:rPr>
          <w:rFonts w:hint="eastAsia" w:ascii="仿宋" w:hAnsi="仿宋" w:eastAsia="仿宋" w:cs="仿宋"/>
          <w:b/>
          <w:bCs/>
          <w:sz w:val="32"/>
          <w:szCs w:val="32"/>
          <w:lang w:val="en-US"/>
        </w:rPr>
        <w:t>2</w:t>
      </w:r>
      <w:r>
        <w:rPr>
          <w:rFonts w:hint="eastAsia" w:ascii="仿宋" w:hAnsi="仿宋" w:eastAsia="仿宋" w:cs="仿宋"/>
          <w:b/>
          <w:bCs/>
          <w:sz w:val="32"/>
          <w:szCs w:val="32"/>
          <w:lang w:val="en-US" w:eastAsia="zh-CN"/>
        </w:rPr>
        <w:t>、</w:t>
      </w:r>
      <w:r>
        <w:rPr>
          <w:rFonts w:hint="eastAsia" w:ascii="仿宋" w:hAnsi="仿宋" w:eastAsia="仿宋" w:cs="仿宋"/>
          <w:b/>
          <w:bCs/>
          <w:sz w:val="32"/>
          <w:szCs w:val="32"/>
          <w:lang w:val="en-US"/>
        </w:rPr>
        <w:t>机构情况</w:t>
      </w:r>
      <w:r>
        <w:rPr>
          <w:rFonts w:hint="eastAsia" w:ascii="仿宋" w:hAnsi="仿宋" w:eastAsia="仿宋" w:cs="仿宋"/>
          <w:sz w:val="32"/>
          <w:szCs w:val="32"/>
          <w:lang w:val="en-US"/>
        </w:rPr>
        <w:t>，2019年本</w:t>
      </w:r>
      <w:r>
        <w:rPr>
          <w:rFonts w:hint="eastAsia" w:ascii="仿宋" w:hAnsi="仿宋" w:eastAsia="仿宋" w:cs="仿宋"/>
          <w:sz w:val="32"/>
          <w:szCs w:val="32"/>
          <w:lang w:val="en-US" w:eastAsia="zh-CN"/>
        </w:rPr>
        <w:t>单位</w:t>
      </w:r>
      <w:r>
        <w:rPr>
          <w:rFonts w:hint="eastAsia" w:ascii="仿宋" w:hAnsi="仿宋" w:eastAsia="仿宋" w:cs="仿宋"/>
          <w:sz w:val="32"/>
          <w:szCs w:val="32"/>
          <w:lang w:val="en-US"/>
        </w:rPr>
        <w:t>由</w:t>
      </w:r>
      <w:r>
        <w:rPr>
          <w:rFonts w:hint="eastAsia" w:ascii="仿宋" w:hAnsi="仿宋" w:eastAsia="仿宋" w:cs="仿宋"/>
          <w:sz w:val="32"/>
          <w:szCs w:val="32"/>
          <w:lang w:val="en-US" w:eastAsia="zh-CN"/>
        </w:rPr>
        <w:t>冷水滩区工业企业改制服务办公室机关本级</w:t>
      </w:r>
      <w:r>
        <w:rPr>
          <w:rFonts w:hint="eastAsia" w:ascii="仿宋" w:hAnsi="仿宋" w:eastAsia="仿宋" w:cs="仿宋"/>
          <w:sz w:val="32"/>
          <w:szCs w:val="32"/>
          <w:lang w:val="en-US"/>
        </w:rPr>
        <w:t>组成。</w:t>
      </w:r>
    </w:p>
    <w:p w14:paraId="042D2750">
      <w:pPr>
        <w:keepNext/>
        <w:keepLines/>
        <w:pageBreakBefore w:val="0"/>
        <w:widowControl/>
        <w:kinsoku/>
        <w:wordWrap/>
        <w:overflowPunct/>
        <w:topLinePunct w:val="0"/>
        <w:autoSpaceDE w:val="0"/>
        <w:autoSpaceDN w:val="0"/>
        <w:bidi w:val="0"/>
        <w:adjustRightInd w:val="0"/>
        <w:spacing w:beforeLines="0" w:afterLines="0" w:line="600" w:lineRule="exact"/>
        <w:ind w:firstLine="640"/>
        <w:rPr>
          <w:rFonts w:hint="eastAsia" w:ascii="仿宋" w:hAnsi="仿宋" w:eastAsia="仿宋" w:cs="仿宋"/>
          <w:sz w:val="32"/>
          <w:szCs w:val="32"/>
          <w:lang w:val="en-US"/>
        </w:rPr>
      </w:pPr>
      <w:r>
        <w:rPr>
          <w:rFonts w:hint="eastAsia" w:ascii="仿宋" w:hAnsi="仿宋" w:eastAsia="仿宋" w:cs="仿宋"/>
          <w:sz w:val="32"/>
          <w:szCs w:val="32"/>
        </w:rPr>
        <w:t>内设机构包括：综合办公室、财务基建股、保卫股。</w:t>
      </w:r>
    </w:p>
    <w:p w14:paraId="763F2D75">
      <w:pPr>
        <w:pageBreakBefore w:val="0"/>
        <w:widowControl/>
        <w:kinsoku/>
        <w:wordWrap/>
        <w:overflowPunct/>
        <w:topLinePunct w:val="0"/>
        <w:bidi w:val="0"/>
        <w:spacing w:beforeLines="0" w:afterLines="0" w:line="600" w:lineRule="exact"/>
        <w:ind w:firstLine="640"/>
        <w:rPr>
          <w:rFonts w:hint="eastAsia" w:ascii="仿宋" w:hAnsi="仿宋" w:eastAsia="仿宋" w:cs="仿宋"/>
          <w:sz w:val="32"/>
          <w:szCs w:val="32"/>
          <w:lang w:val="en-US" w:eastAsia="zh-CN"/>
        </w:rPr>
      </w:pPr>
      <w:r>
        <w:rPr>
          <w:rFonts w:hint="eastAsia" w:ascii="仿宋" w:hAnsi="仿宋" w:eastAsia="仿宋" w:cs="仿宋"/>
          <w:b/>
          <w:bCs/>
          <w:sz w:val="32"/>
          <w:szCs w:val="32"/>
          <w:lang w:val="en-US"/>
        </w:rPr>
        <w:t>3</w:t>
      </w:r>
      <w:r>
        <w:rPr>
          <w:rFonts w:hint="eastAsia" w:ascii="仿宋" w:hAnsi="仿宋" w:eastAsia="仿宋" w:cs="仿宋"/>
          <w:b/>
          <w:bCs/>
          <w:sz w:val="32"/>
          <w:szCs w:val="32"/>
          <w:lang w:val="en-US" w:eastAsia="zh-CN"/>
        </w:rPr>
        <w:t>、</w:t>
      </w:r>
      <w:r>
        <w:rPr>
          <w:rFonts w:hint="eastAsia" w:ascii="仿宋" w:hAnsi="仿宋" w:eastAsia="仿宋" w:cs="仿宋"/>
          <w:b/>
          <w:bCs/>
          <w:sz w:val="32"/>
          <w:szCs w:val="32"/>
          <w:lang w:val="en-US"/>
        </w:rPr>
        <w:t>人员情况</w:t>
      </w:r>
      <w:r>
        <w:rPr>
          <w:rFonts w:hint="eastAsia" w:ascii="仿宋" w:hAnsi="仿宋" w:eastAsia="仿宋" w:cs="仿宋"/>
          <w:sz w:val="32"/>
          <w:szCs w:val="32"/>
          <w:lang w:val="en-US"/>
        </w:rPr>
        <w:t>。2019年本单位年未实有人数4人，比上年</w:t>
      </w:r>
      <w:r>
        <w:rPr>
          <w:rFonts w:hint="eastAsia" w:ascii="仿宋" w:hAnsi="仿宋" w:eastAsia="仿宋" w:cs="仿宋"/>
          <w:sz w:val="32"/>
          <w:szCs w:val="32"/>
          <w:lang w:val="zh-CN"/>
        </w:rPr>
        <w:t>变动了（增加或减少）</w:t>
      </w:r>
      <w:r>
        <w:rPr>
          <w:rFonts w:hint="eastAsia" w:ascii="仿宋" w:hAnsi="仿宋" w:eastAsia="仿宋" w:cs="仿宋"/>
          <w:sz w:val="32"/>
          <w:szCs w:val="32"/>
          <w:lang w:val="en-US"/>
        </w:rPr>
        <w:t>0人。人员</w:t>
      </w:r>
      <w:r>
        <w:rPr>
          <w:rFonts w:hint="eastAsia" w:ascii="仿宋" w:hAnsi="仿宋" w:eastAsia="仿宋" w:cs="仿宋"/>
          <w:sz w:val="32"/>
          <w:szCs w:val="32"/>
          <w:lang w:val="en-US" w:eastAsia="zh-CN"/>
        </w:rPr>
        <w:t>无</w:t>
      </w:r>
      <w:r>
        <w:rPr>
          <w:rFonts w:hint="eastAsia" w:ascii="仿宋" w:hAnsi="仿宋" w:eastAsia="仿宋" w:cs="仿宋"/>
          <w:sz w:val="32"/>
          <w:szCs w:val="32"/>
          <w:lang w:val="en-US"/>
        </w:rPr>
        <w:t>变化</w:t>
      </w:r>
      <w:r>
        <w:rPr>
          <w:rFonts w:hint="eastAsia" w:ascii="仿宋" w:hAnsi="仿宋" w:eastAsia="仿宋" w:cs="仿宋"/>
          <w:sz w:val="32"/>
          <w:szCs w:val="32"/>
          <w:lang w:val="en-US" w:eastAsia="zh-CN"/>
        </w:rPr>
        <w:t>。</w:t>
      </w:r>
    </w:p>
    <w:p w14:paraId="29A5AD6B">
      <w:pPr>
        <w:pageBreakBefore w:val="0"/>
        <w:widowControl/>
        <w:kinsoku/>
        <w:wordWrap/>
        <w:overflowPunct/>
        <w:topLinePunct w:val="0"/>
        <w:bidi w:val="0"/>
        <w:spacing w:line="600" w:lineRule="exact"/>
        <w:rPr>
          <w:rFonts w:hint="eastAsia" w:ascii="仿宋" w:hAnsi="仿宋" w:eastAsia="仿宋" w:cs="仿宋"/>
          <w:sz w:val="32"/>
          <w:szCs w:val="32"/>
        </w:rPr>
      </w:pPr>
      <w:r>
        <w:rPr>
          <w:rFonts w:hint="eastAsia" w:ascii="仿宋" w:hAnsi="仿宋" w:eastAsia="仿宋" w:cs="仿宋"/>
          <w:sz w:val="32"/>
          <w:szCs w:val="32"/>
        </w:rPr>
        <w:t>（二）</w:t>
      </w:r>
      <w:r>
        <w:rPr>
          <w:rFonts w:hint="eastAsia" w:ascii="仿宋" w:hAnsi="仿宋" w:eastAsia="仿宋" w:cs="仿宋"/>
          <w:color w:val="000000"/>
          <w:sz w:val="32"/>
          <w:szCs w:val="32"/>
        </w:rPr>
        <w:t>2019</w:t>
      </w:r>
      <w:r>
        <w:rPr>
          <w:rFonts w:hint="eastAsia" w:ascii="仿宋" w:hAnsi="仿宋" w:eastAsia="仿宋" w:cs="仿宋"/>
          <w:sz w:val="32"/>
          <w:szCs w:val="32"/>
        </w:rPr>
        <w:t>年的重点工作</w:t>
      </w:r>
    </w:p>
    <w:p w14:paraId="460A2D0C">
      <w:pPr>
        <w:pageBreakBefore w:val="0"/>
        <w:widowControl/>
        <w:kinsoku/>
        <w:wordWrap/>
        <w:overflowPunct/>
        <w:topLinePunct w:val="0"/>
        <w:bidi w:val="0"/>
        <w:spacing w:line="600" w:lineRule="exact"/>
        <w:jc w:val="left"/>
        <w:textAlignment w:val="baseline"/>
        <w:rPr>
          <w:rFonts w:hint="eastAsia" w:ascii="仿宋" w:hAnsi="仿宋" w:eastAsia="仿宋" w:cs="仿宋"/>
          <w:b/>
          <w:sz w:val="32"/>
          <w:szCs w:val="32"/>
        </w:rPr>
      </w:pPr>
      <w:r>
        <w:rPr>
          <w:rFonts w:hint="eastAsia" w:ascii="仿宋" w:hAnsi="仿宋" w:eastAsia="仿宋" w:cs="仿宋"/>
          <w:sz w:val="32"/>
          <w:szCs w:val="32"/>
        </w:rPr>
        <w:t xml:space="preserve"> </w:t>
      </w:r>
      <w:r>
        <w:rPr>
          <w:rFonts w:hint="eastAsia" w:ascii="仿宋" w:hAnsi="仿宋" w:eastAsia="仿宋" w:cs="仿宋"/>
          <w:b/>
          <w:sz w:val="32"/>
          <w:szCs w:val="32"/>
        </w:rPr>
        <w:t>一、抓好基层工作</w:t>
      </w:r>
    </w:p>
    <w:p w14:paraId="1ED37FD8">
      <w:pPr>
        <w:pageBreakBefore w:val="0"/>
        <w:widowControl/>
        <w:kinsoku/>
        <w:wordWrap/>
        <w:overflowPunct/>
        <w:topLinePunct w:val="0"/>
        <w:bidi w:val="0"/>
        <w:spacing w:line="600" w:lineRule="exact"/>
        <w:ind w:firstLine="640"/>
        <w:jc w:val="left"/>
        <w:textAlignment w:val="baseline"/>
        <w:rPr>
          <w:rFonts w:hint="eastAsia" w:ascii="仿宋" w:hAnsi="仿宋" w:eastAsia="仿宋" w:cs="仿宋"/>
          <w:color w:val="000000"/>
          <w:kern w:val="0"/>
          <w:sz w:val="32"/>
          <w:szCs w:val="32"/>
        </w:rPr>
      </w:pPr>
      <w:r>
        <w:rPr>
          <w:rFonts w:hint="eastAsia" w:ascii="仿宋" w:hAnsi="仿宋" w:eastAsia="仿宋" w:cs="仿宋"/>
          <w:sz w:val="32"/>
          <w:szCs w:val="32"/>
        </w:rPr>
        <w:t>(一)了解下属各公司下岗职工生活状况及困难，努力为生活困难职工解决一些问题。同时想尽办法，挤出资金在“重阳节”对老同志进行了走访慰问，得到了老同志的一致好评。（二）对物资公司的资产进行了清查摸底，为今后实施“两个置换”作好了前期准备工作。制订了区物资公司改革实施方案</w:t>
      </w:r>
      <w:r>
        <w:rPr>
          <w:rFonts w:hint="eastAsia" w:ascii="仿宋" w:hAnsi="仿宋" w:eastAsia="仿宋" w:cs="仿宋"/>
          <w:color w:val="000000"/>
          <w:kern w:val="0"/>
          <w:sz w:val="32"/>
          <w:szCs w:val="32"/>
        </w:rPr>
        <w:t>。（三）针对我办的上访重点对象，有针对性地做好工作，多次上门走访，了解情况，宣讲政策，动之以情，晓之以理，通过扎实的工作，今年我办实现了“零”上访。（四）深入单位驻地狮子口社区。出资3万元帮助社区兴建一些文体设施，并看望走</w:t>
      </w:r>
      <w:r>
        <w:rPr>
          <w:rFonts w:hint="eastAsia" w:ascii="仿宋" w:hAnsi="仿宋" w:eastAsia="仿宋" w:cs="仿宋"/>
          <w:sz w:val="32"/>
          <w:szCs w:val="32"/>
        </w:rPr>
        <w:t>访辖区内的部分困难职工。（五）深入联系的扶贫村</w:t>
      </w:r>
      <w:r>
        <w:rPr>
          <w:rFonts w:hint="eastAsia" w:ascii="仿宋" w:hAnsi="仿宋" w:eastAsia="仿宋" w:cs="仿宋"/>
          <w:color w:val="000000"/>
          <w:kern w:val="0"/>
          <w:sz w:val="32"/>
          <w:szCs w:val="32"/>
        </w:rPr>
        <w:t>高溪市镇扶桥坝村。与村支两委一道拿出了三年计划、五年规划，并做好了贫困村有关资料数据上报工作。对扶桥坝村帮扶资金2万元。</w:t>
      </w:r>
    </w:p>
    <w:p w14:paraId="6B033989">
      <w:pPr>
        <w:pageBreakBefore w:val="0"/>
        <w:widowControl/>
        <w:kinsoku/>
        <w:wordWrap/>
        <w:overflowPunct/>
        <w:topLinePunct w:val="0"/>
        <w:bidi w:val="0"/>
        <w:spacing w:line="600" w:lineRule="exact"/>
        <w:jc w:val="left"/>
        <w:textAlignment w:val="baseline"/>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b/>
          <w:sz w:val="32"/>
          <w:szCs w:val="32"/>
        </w:rPr>
        <w:t>二、努力完成好区委、区政府交办的重点工作</w:t>
      </w:r>
    </w:p>
    <w:p w14:paraId="0CB11D12">
      <w:pPr>
        <w:pageBreakBefore w:val="0"/>
        <w:widowControl/>
        <w:kinsoku/>
        <w:wordWrap/>
        <w:overflowPunct/>
        <w:topLinePunct w:val="0"/>
        <w:bidi w:val="0"/>
        <w:spacing w:line="600" w:lineRule="exact"/>
        <w:textAlignment w:val="baseline"/>
        <w:rPr>
          <w:rFonts w:hint="eastAsia" w:ascii="仿宋" w:hAnsi="仿宋" w:eastAsia="仿宋" w:cs="仿宋"/>
          <w:color w:val="000000"/>
          <w:kern w:val="0"/>
          <w:sz w:val="32"/>
          <w:szCs w:val="32"/>
        </w:rPr>
      </w:pPr>
      <w:r>
        <w:rPr>
          <w:rFonts w:hint="eastAsia" w:ascii="仿宋" w:hAnsi="仿宋" w:eastAsia="仿宋" w:cs="仿宋"/>
          <w:sz w:val="32"/>
          <w:szCs w:val="32"/>
        </w:rPr>
        <w:t xml:space="preserve">    </w:t>
      </w:r>
      <w:r>
        <w:rPr>
          <w:rFonts w:hint="eastAsia" w:ascii="仿宋" w:hAnsi="仿宋" w:eastAsia="仿宋" w:cs="仿宋"/>
          <w:color w:val="000000"/>
          <w:kern w:val="0"/>
          <w:sz w:val="32"/>
          <w:szCs w:val="32"/>
        </w:rPr>
        <w:t>认真抓好综治民调工作，发放资料约150份，做到宣传到位，思想到位。抓好“创卫工作”，保持好“创卫成果”，按时搞好联系珊瑚路路段及白竹亭社区的“全民卫生日”文明劝导，狠抓了机关独立院内的卫生保洁工作。</w:t>
      </w:r>
    </w:p>
    <w:p w14:paraId="4587DE4E">
      <w:pPr>
        <w:pageBreakBefore w:val="0"/>
        <w:widowControl/>
        <w:kinsoku/>
        <w:wordWrap/>
        <w:overflowPunct/>
        <w:topLinePunct w:val="0"/>
        <w:bidi w:val="0"/>
        <w:spacing w:line="600" w:lineRule="exact"/>
        <w:ind w:firstLine="640"/>
        <w:jc w:val="left"/>
        <w:textAlignment w:val="baseline"/>
        <w:rPr>
          <w:rFonts w:hint="eastAsia" w:ascii="仿宋" w:hAnsi="仿宋" w:eastAsia="仿宋" w:cs="仿宋"/>
          <w:sz w:val="32"/>
          <w:szCs w:val="32"/>
        </w:rPr>
      </w:pPr>
      <w:r>
        <w:rPr>
          <w:rFonts w:hint="eastAsia" w:ascii="仿宋" w:hAnsi="仿宋" w:eastAsia="仿宋" w:cs="仿宋"/>
          <w:b/>
          <w:color w:val="000000"/>
          <w:kern w:val="0"/>
          <w:sz w:val="32"/>
          <w:szCs w:val="32"/>
        </w:rPr>
        <w:t>三、</w:t>
      </w:r>
      <w:r>
        <w:rPr>
          <w:rFonts w:hint="eastAsia" w:ascii="仿宋" w:hAnsi="仿宋" w:eastAsia="仿宋" w:cs="仿宋"/>
          <w:b/>
          <w:sz w:val="32"/>
          <w:szCs w:val="32"/>
        </w:rPr>
        <w:t>加强综合治理，确保物资系统稳定</w:t>
      </w:r>
    </w:p>
    <w:p w14:paraId="4DFD42FD">
      <w:pPr>
        <w:pageBreakBefore w:val="0"/>
        <w:widowControl/>
        <w:kinsoku/>
        <w:wordWrap/>
        <w:overflowPunct/>
        <w:topLinePunct w:val="0"/>
        <w:bidi w:val="0"/>
        <w:spacing w:line="600" w:lineRule="exact"/>
        <w:textAlignment w:val="baseline"/>
        <w:rPr>
          <w:rFonts w:hint="eastAsia" w:ascii="仿宋" w:hAnsi="仿宋" w:eastAsia="仿宋" w:cs="仿宋"/>
          <w:b/>
          <w:sz w:val="32"/>
          <w:szCs w:val="32"/>
        </w:rPr>
      </w:pPr>
      <w:r>
        <w:rPr>
          <w:rFonts w:hint="eastAsia" w:ascii="仿宋" w:hAnsi="仿宋" w:eastAsia="仿宋" w:cs="仿宋"/>
          <w:sz w:val="32"/>
          <w:szCs w:val="32"/>
        </w:rPr>
        <w:t xml:space="preserve">    我办认真落实综治领导责任制，主动配合有关部门积极开展工作。一是成立了区物资公司综治维稳领导小组。二是行管办班子成员和各公司经理都具签了信访维稳工作目标管理责任状，负责对退休职工、下岗职工、军转干部和军队退役人员、企业改制等问题的处理和维护稳定工作。由于思想政治工作做到了位，今年没有发生一起集访、群访和赴省进京事件。三是成立庭院治安巡逻队，加强平日和节假期的安全保障，机关大院大门按时落锁，确保了大院内住户的安全，今年没发生一起安全、刑事案件。</w:t>
      </w:r>
    </w:p>
    <w:p w14:paraId="3D5AD7DF">
      <w:pPr>
        <w:pageBreakBefore w:val="0"/>
        <w:widowControl/>
        <w:kinsoku/>
        <w:wordWrap/>
        <w:overflowPunct/>
        <w:topLinePunct w:val="0"/>
        <w:bidi w:val="0"/>
        <w:spacing w:line="600" w:lineRule="exact"/>
        <w:ind w:firstLine="645"/>
        <w:textAlignment w:val="baseline"/>
        <w:rPr>
          <w:rFonts w:hint="eastAsia" w:ascii="仿宋" w:hAnsi="仿宋" w:eastAsia="仿宋" w:cs="仿宋"/>
          <w:b/>
          <w:sz w:val="32"/>
          <w:szCs w:val="32"/>
        </w:rPr>
      </w:pPr>
      <w:r>
        <w:rPr>
          <w:rFonts w:hint="eastAsia" w:ascii="仿宋" w:hAnsi="仿宋" w:eastAsia="仿宋" w:cs="仿宋"/>
          <w:b/>
          <w:sz w:val="32"/>
          <w:szCs w:val="32"/>
        </w:rPr>
        <w:t>四、认真抓好党风廉政建设、增强党员干部廉洁自律和拒腐能力</w:t>
      </w:r>
    </w:p>
    <w:p w14:paraId="32A70FEE">
      <w:pPr>
        <w:pageBreakBefore w:val="0"/>
        <w:widowControl/>
        <w:kinsoku/>
        <w:wordWrap/>
        <w:overflowPunct/>
        <w:topLinePunct w:val="0"/>
        <w:bidi w:val="0"/>
        <w:spacing w:line="600" w:lineRule="exact"/>
        <w:ind w:firstLine="640" w:firstLineChars="200"/>
        <w:jc w:val="left"/>
        <w:textAlignment w:val="baseline"/>
        <w:rPr>
          <w:rFonts w:hint="eastAsia" w:ascii="仿宋" w:hAnsi="仿宋" w:eastAsia="仿宋" w:cs="仿宋"/>
          <w:sz w:val="32"/>
          <w:szCs w:val="32"/>
        </w:rPr>
      </w:pPr>
      <w:r>
        <w:rPr>
          <w:rFonts w:hint="eastAsia" w:ascii="仿宋" w:hAnsi="仿宋" w:eastAsia="仿宋" w:cs="仿宋"/>
          <w:sz w:val="32"/>
          <w:szCs w:val="32"/>
        </w:rPr>
        <w:t>高度重视领导班子从严学习，坚持中心理论学习将反腐倡廉的法规制度作为党总支学习的主要内容，将党员领导人员对照廉洁相关规定认真自查。组织开展专题学习，集中观看了《迟到的忏悔》警示教育片和集中学习了《中国共产党纪律处分条例》、《中国共产党党内监督条例》及《中国共产党问责条例》。</w:t>
      </w:r>
    </w:p>
    <w:p w14:paraId="0B55F12A">
      <w:pPr>
        <w:pageBreakBefore w:val="0"/>
        <w:widowControl/>
        <w:kinsoku/>
        <w:wordWrap/>
        <w:overflowPunct/>
        <w:topLinePunct w:val="0"/>
        <w:bidi w:val="0"/>
        <w:spacing w:line="600" w:lineRule="exact"/>
        <w:ind w:firstLine="645"/>
        <w:textAlignment w:val="baseline"/>
        <w:rPr>
          <w:rFonts w:hint="eastAsia" w:ascii="仿宋" w:hAnsi="仿宋" w:eastAsia="仿宋" w:cs="仿宋"/>
          <w:sz w:val="32"/>
          <w:szCs w:val="32"/>
        </w:rPr>
      </w:pPr>
      <w:r>
        <w:rPr>
          <w:rFonts w:hint="eastAsia" w:ascii="仿宋" w:hAnsi="仿宋" w:eastAsia="仿宋" w:cs="仿宋"/>
          <w:b/>
          <w:sz w:val="32"/>
          <w:szCs w:val="32"/>
        </w:rPr>
        <w:t>五、健全制度，促进党建工作进一步提高</w:t>
      </w:r>
    </w:p>
    <w:p w14:paraId="67A4405F">
      <w:pPr>
        <w:pageBreakBefore w:val="0"/>
        <w:widowControl/>
        <w:kinsoku/>
        <w:wordWrap/>
        <w:overflowPunct/>
        <w:topLinePunct w:val="0"/>
        <w:bidi w:val="0"/>
        <w:spacing w:line="600" w:lineRule="exact"/>
        <w:jc w:val="left"/>
        <w:textAlignment w:val="baseline"/>
        <w:rPr>
          <w:rFonts w:hint="eastAsia" w:ascii="仿宋" w:hAnsi="仿宋" w:eastAsia="仿宋" w:cs="仿宋"/>
          <w:sz w:val="32"/>
          <w:szCs w:val="32"/>
        </w:rPr>
      </w:pPr>
      <w:r>
        <w:rPr>
          <w:rFonts w:hint="eastAsia" w:ascii="仿宋" w:hAnsi="仿宋" w:eastAsia="仿宋" w:cs="仿宋"/>
          <w:sz w:val="32"/>
          <w:szCs w:val="32"/>
        </w:rPr>
        <w:t xml:space="preserve">    一是加强组织领导。我办党总支多次召开会议专题研究党建工作，明确党建工作思路，制定党建工作计划，重点强化领导责任并把党建工作任务层层分解落实到各党支部，责任明确到人，切实增强党员干部责任意识。二是健全规章制度。研究制订了机关党组织“组织生活会制度”、公务用车制度等规章制度，以规章制度来管理和规范基层党组织和党员的工作和行为。三是加强党员教育。以十九大报告和</w:t>
      </w:r>
      <w:r>
        <w:rPr>
          <w:rFonts w:hint="eastAsia" w:ascii="仿宋" w:hAnsi="仿宋" w:eastAsia="仿宋" w:cs="仿宋"/>
          <w:sz w:val="32"/>
          <w:szCs w:val="32"/>
          <w:lang w:eastAsia="zh-CN"/>
        </w:rPr>
        <w:t>习近平新时代中国特色社会主义思想</w:t>
      </w:r>
      <w:r>
        <w:rPr>
          <w:rFonts w:hint="eastAsia" w:ascii="仿宋" w:hAnsi="仿宋" w:eastAsia="仿宋" w:cs="仿宋"/>
          <w:sz w:val="32"/>
          <w:szCs w:val="32"/>
        </w:rPr>
        <w:t>为主题，制定详细学习计划、定期或不定期组织机关党员干部学习党的各项路线、方针、政策和法律、法规知识。</w:t>
      </w:r>
    </w:p>
    <w:p w14:paraId="0F2E9BCD">
      <w:pPr>
        <w:pageBreakBefore w:val="0"/>
        <w:widowControl/>
        <w:kinsoku/>
        <w:wordWrap/>
        <w:overflowPunct/>
        <w:topLinePunct w:val="0"/>
        <w:bidi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（三）部门整体支出情况</w:t>
      </w:r>
    </w:p>
    <w:p w14:paraId="6925C04A">
      <w:pPr>
        <w:pageBreakBefore w:val="0"/>
        <w:widowControl/>
        <w:kinsoku/>
        <w:wordWrap/>
        <w:overflowPunct/>
        <w:topLinePunct w:val="0"/>
        <w:bidi w:val="0"/>
        <w:spacing w:line="600" w:lineRule="exact"/>
        <w:ind w:firstLine="643" w:firstLineChars="200"/>
        <w:rPr>
          <w:rFonts w:hint="eastAsia" w:ascii="仿宋" w:hAnsi="仿宋" w:eastAsia="仿宋" w:cs="仿宋"/>
          <w:b/>
          <w:sz w:val="32"/>
          <w:szCs w:val="32"/>
        </w:rPr>
      </w:pPr>
      <w:r>
        <w:rPr>
          <w:rFonts w:hint="eastAsia" w:ascii="仿宋" w:hAnsi="仿宋" w:eastAsia="仿宋" w:cs="仿宋"/>
          <w:b/>
          <w:sz w:val="32"/>
          <w:szCs w:val="32"/>
        </w:rPr>
        <w:t>二、部门整体支出管理及使用情况</w:t>
      </w:r>
    </w:p>
    <w:p w14:paraId="4AF1F111">
      <w:pPr>
        <w:pageBreakBefore w:val="0"/>
        <w:widowControl/>
        <w:kinsoku/>
        <w:wordWrap/>
        <w:overflowPunct/>
        <w:topLinePunct w:val="0"/>
        <w:bidi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（一）基本支出情况。</w:t>
      </w:r>
    </w:p>
    <w:p w14:paraId="6DF5D4B6">
      <w:pPr>
        <w:pageBreakBefore w:val="0"/>
        <w:widowControl/>
        <w:kinsoku/>
        <w:wordWrap/>
        <w:overflowPunct/>
        <w:topLinePunct w:val="0"/>
        <w:bidi w:val="0"/>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基本支出172.01万元，其中工资福利支出77.13万元、商品和服务支出20.82万元、对个人和家庭的补助23.06万元、对企业的补助51万元。</w:t>
      </w:r>
    </w:p>
    <w:p w14:paraId="5CE36556">
      <w:pPr>
        <w:pageBreakBefore w:val="0"/>
        <w:widowControl/>
        <w:numPr>
          <w:ilvl w:val="0"/>
          <w:numId w:val="1"/>
        </w:numPr>
        <w:kinsoku/>
        <w:wordWrap/>
        <w:overflowPunct/>
        <w:topLinePunct w:val="0"/>
        <w:bidi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项目支出情况。</w:t>
      </w:r>
    </w:p>
    <w:p w14:paraId="1E9A827C">
      <w:pPr>
        <w:pageBreakBefore w:val="0"/>
        <w:widowControl/>
        <w:numPr>
          <w:ilvl w:val="0"/>
          <w:numId w:val="0"/>
        </w:numPr>
        <w:kinsoku/>
        <w:wordWrap/>
        <w:overflowPunct/>
        <w:topLinePunct w:val="0"/>
        <w:bidi w:val="0"/>
        <w:spacing w:line="600" w:lineRule="exac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2019年度无项目支出。</w:t>
      </w:r>
    </w:p>
    <w:p w14:paraId="18F5D075">
      <w:pPr>
        <w:pageBreakBefore w:val="0"/>
        <w:widowControl/>
        <w:kinsoku/>
        <w:wordWrap/>
        <w:overflowPunct/>
        <w:topLinePunct w:val="0"/>
        <w:bidi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（三）“三公”经费情况</w:t>
      </w:r>
    </w:p>
    <w:p w14:paraId="08F2CA18">
      <w:pPr>
        <w:pageBreakBefore w:val="0"/>
        <w:widowControl/>
        <w:kinsoku/>
        <w:wordWrap/>
        <w:overflowPunct/>
        <w:topLinePunct w:val="0"/>
        <w:bidi w:val="0"/>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1．因公出国（境）费用</w:t>
      </w:r>
      <w:r>
        <w:rPr>
          <w:rFonts w:hint="eastAsia" w:ascii="仿宋" w:hAnsi="仿宋" w:eastAsia="仿宋" w:cs="仿宋"/>
          <w:sz w:val="32"/>
          <w:szCs w:val="32"/>
          <w:lang w:val="en-US" w:eastAsia="zh-CN"/>
        </w:rPr>
        <w:t>为0万元。</w:t>
      </w:r>
    </w:p>
    <w:p w14:paraId="12331518">
      <w:pPr>
        <w:pageBreakBefore w:val="0"/>
        <w:widowControl/>
        <w:kinsoku/>
        <w:wordWrap/>
        <w:overflowPunct/>
        <w:topLinePunct w:val="0"/>
        <w:bidi w:val="0"/>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2．公务接待费</w:t>
      </w:r>
      <w:r>
        <w:rPr>
          <w:rFonts w:hint="eastAsia" w:ascii="仿宋" w:hAnsi="仿宋" w:eastAsia="仿宋" w:cs="仿宋"/>
          <w:sz w:val="32"/>
          <w:szCs w:val="32"/>
          <w:lang w:val="en-US" w:eastAsia="zh-CN"/>
        </w:rPr>
        <w:t>用为0.61万元，比去年减少0.07万元，减幅10.29%。</w:t>
      </w:r>
    </w:p>
    <w:p w14:paraId="6EA37CDE">
      <w:pPr>
        <w:pageBreakBefore w:val="0"/>
        <w:widowControl/>
        <w:kinsoku/>
        <w:wordWrap/>
        <w:overflowPunct/>
        <w:topLinePunct w:val="0"/>
        <w:bidi w:val="0"/>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3．公务用车购置及运行费</w:t>
      </w:r>
      <w:r>
        <w:rPr>
          <w:rFonts w:hint="eastAsia" w:ascii="仿宋" w:hAnsi="仿宋" w:eastAsia="仿宋" w:cs="仿宋"/>
          <w:sz w:val="32"/>
          <w:szCs w:val="32"/>
          <w:lang w:val="en-US" w:eastAsia="zh-CN"/>
        </w:rPr>
        <w:t>为1.6万元，其中公务用车购置费为0万元、公务用车运行费1.6万元，比去年减少0.32元，减幅为16.67%。原因是2019年下半年取消了公务用车。</w:t>
      </w:r>
    </w:p>
    <w:p w14:paraId="2F8B46AF">
      <w:pPr>
        <w:pageBreakBefore w:val="0"/>
        <w:widowControl/>
        <w:kinsoku/>
        <w:wordWrap/>
        <w:overflowPunct/>
        <w:topLinePunct w:val="0"/>
        <w:bidi w:val="0"/>
        <w:spacing w:line="600" w:lineRule="exact"/>
        <w:ind w:firstLine="643" w:firstLineChars="200"/>
        <w:rPr>
          <w:rFonts w:hint="eastAsia" w:ascii="仿宋" w:hAnsi="仿宋" w:eastAsia="仿宋" w:cs="仿宋"/>
          <w:sz w:val="32"/>
          <w:szCs w:val="32"/>
        </w:rPr>
      </w:pPr>
      <w:r>
        <w:rPr>
          <w:rFonts w:hint="eastAsia" w:ascii="仿宋" w:hAnsi="仿宋" w:eastAsia="仿宋" w:cs="仿宋"/>
          <w:b/>
          <w:sz w:val="32"/>
          <w:szCs w:val="32"/>
        </w:rPr>
        <w:t>三、部门整体支出绩效情况</w:t>
      </w:r>
    </w:p>
    <w:p w14:paraId="7268F79C">
      <w:pPr>
        <w:pageBreakBefore w:val="0"/>
        <w:widowControl/>
        <w:numPr>
          <w:ilvl w:val="0"/>
          <w:numId w:val="2"/>
        </w:numPr>
        <w:kinsoku/>
        <w:wordWrap/>
        <w:overflowPunct/>
        <w:topLinePunct w:val="0"/>
        <w:bidi w:val="0"/>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对物资公司资产和债权债务进行了清查摸底，为今后的“两个置换”做好了前期准备工作，制订了区物资公司改革实施方案。</w:t>
      </w:r>
    </w:p>
    <w:p w14:paraId="6732C580">
      <w:pPr>
        <w:pageBreakBefore w:val="0"/>
        <w:widowControl/>
        <w:numPr>
          <w:ilvl w:val="0"/>
          <w:numId w:val="2"/>
        </w:numPr>
        <w:kinsoku/>
        <w:wordWrap/>
        <w:overflowPunct/>
        <w:topLinePunct w:val="0"/>
        <w:bidi w:val="0"/>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了解下属各公司下岗职工生活状况及困难，努力为生活困难职工解决一些问题。</w:t>
      </w:r>
      <w:r>
        <w:rPr>
          <w:rFonts w:hint="eastAsia" w:ascii="仿宋" w:hAnsi="仿宋" w:eastAsia="仿宋" w:cs="仿宋"/>
          <w:sz w:val="32"/>
          <w:szCs w:val="32"/>
          <w:lang w:val="en-US" w:eastAsia="zh-CN"/>
        </w:rPr>
        <w:t>全年挤出6万元</w:t>
      </w:r>
      <w:r>
        <w:rPr>
          <w:rFonts w:hint="eastAsia" w:ascii="仿宋" w:hAnsi="仿宋" w:eastAsia="仿宋" w:cs="仿宋"/>
          <w:sz w:val="32"/>
          <w:szCs w:val="32"/>
        </w:rPr>
        <w:t>资金</w:t>
      </w:r>
      <w:r>
        <w:rPr>
          <w:rFonts w:hint="eastAsia" w:ascii="仿宋" w:hAnsi="仿宋" w:eastAsia="仿宋" w:cs="仿宋"/>
          <w:sz w:val="32"/>
          <w:szCs w:val="32"/>
          <w:lang w:val="en-US" w:eastAsia="zh-CN"/>
        </w:rPr>
        <w:t>对下岗困难职工和退休</w:t>
      </w:r>
      <w:r>
        <w:rPr>
          <w:rFonts w:hint="eastAsia" w:ascii="仿宋" w:hAnsi="仿宋" w:eastAsia="仿宋" w:cs="仿宋"/>
          <w:sz w:val="32"/>
          <w:szCs w:val="32"/>
        </w:rPr>
        <w:t>老同志进行了走访慰问，得到了</w:t>
      </w:r>
      <w:r>
        <w:rPr>
          <w:rFonts w:hint="eastAsia" w:ascii="仿宋" w:hAnsi="仿宋" w:eastAsia="仿宋" w:cs="仿宋"/>
          <w:sz w:val="32"/>
          <w:szCs w:val="32"/>
          <w:lang w:val="en-US" w:eastAsia="zh-CN"/>
        </w:rPr>
        <w:t>广泛</w:t>
      </w:r>
      <w:r>
        <w:rPr>
          <w:rFonts w:hint="eastAsia" w:ascii="仿宋" w:hAnsi="仿宋" w:eastAsia="仿宋" w:cs="仿宋"/>
          <w:sz w:val="32"/>
          <w:szCs w:val="32"/>
        </w:rPr>
        <w:t>好评。</w:t>
      </w:r>
    </w:p>
    <w:p w14:paraId="473B0D0D">
      <w:pPr>
        <w:pageBreakBefore w:val="0"/>
        <w:widowControl/>
        <w:numPr>
          <w:ilvl w:val="0"/>
          <w:numId w:val="2"/>
        </w:numPr>
        <w:kinsoku/>
        <w:wordWrap/>
        <w:overflowPunct/>
        <w:topLinePunct w:val="0"/>
        <w:bidi w:val="0"/>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color w:val="000000"/>
          <w:kern w:val="0"/>
          <w:sz w:val="32"/>
          <w:szCs w:val="32"/>
        </w:rPr>
        <w:t>针对我办的上访重点对象，有针对性地做好工作，多次上门走访，了解情况，宣讲政策，动之以情，晓之以理，通过扎实的工作，今年我办实现了“零”上访。</w:t>
      </w:r>
    </w:p>
    <w:p w14:paraId="097C773D">
      <w:pPr>
        <w:pageBreakBefore w:val="0"/>
        <w:widowControl/>
        <w:numPr>
          <w:ilvl w:val="0"/>
          <w:numId w:val="2"/>
        </w:numPr>
        <w:kinsoku/>
        <w:wordWrap/>
        <w:overflowPunct/>
        <w:topLinePunct w:val="0"/>
        <w:bidi w:val="0"/>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color w:val="000000"/>
          <w:kern w:val="0"/>
          <w:sz w:val="32"/>
          <w:szCs w:val="32"/>
        </w:rPr>
        <w:t>深入单位驻地狮子口社区。出资3万元帮助社区兴建一些文体设施，并看望走</w:t>
      </w:r>
      <w:r>
        <w:rPr>
          <w:rFonts w:hint="eastAsia" w:ascii="仿宋" w:hAnsi="仿宋" w:eastAsia="仿宋" w:cs="仿宋"/>
          <w:sz w:val="32"/>
          <w:szCs w:val="32"/>
        </w:rPr>
        <w:t>访辖区内的部分困难职工。</w:t>
      </w:r>
    </w:p>
    <w:p w14:paraId="6CBDEBE2">
      <w:pPr>
        <w:pageBreakBefore w:val="0"/>
        <w:widowControl/>
        <w:numPr>
          <w:ilvl w:val="0"/>
          <w:numId w:val="2"/>
        </w:numPr>
        <w:kinsoku/>
        <w:wordWrap/>
        <w:overflowPunct/>
        <w:topLinePunct w:val="0"/>
        <w:bidi w:val="0"/>
        <w:spacing w:line="600" w:lineRule="exact"/>
        <w:ind w:left="0" w:leftChars="0"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sz w:val="32"/>
          <w:szCs w:val="32"/>
          <w:lang w:val="en-US" w:eastAsia="zh-CN"/>
        </w:rPr>
        <w:t>扶贫工作力度大</w:t>
      </w:r>
      <w:r>
        <w:rPr>
          <w:rFonts w:hint="eastAsia" w:ascii="仿宋" w:hAnsi="仿宋" w:eastAsia="仿宋" w:cs="仿宋"/>
          <w:color w:val="000000"/>
          <w:kern w:val="0"/>
          <w:sz w:val="32"/>
          <w:szCs w:val="32"/>
        </w:rPr>
        <w:t>。</w:t>
      </w:r>
      <w:r>
        <w:rPr>
          <w:rFonts w:hint="eastAsia" w:ascii="仿宋" w:hAnsi="仿宋" w:eastAsia="仿宋" w:cs="仿宋"/>
          <w:color w:val="000000"/>
          <w:kern w:val="0"/>
          <w:sz w:val="32"/>
          <w:szCs w:val="32"/>
          <w:lang w:val="en-US" w:eastAsia="zh-CN"/>
        </w:rPr>
        <w:t>对联系的高溪市镇扶桥坝村与</w:t>
      </w:r>
      <w:r>
        <w:rPr>
          <w:rFonts w:hint="eastAsia" w:ascii="仿宋" w:hAnsi="仿宋" w:eastAsia="仿宋" w:cs="仿宋"/>
          <w:color w:val="000000"/>
          <w:kern w:val="0"/>
          <w:sz w:val="32"/>
          <w:szCs w:val="32"/>
        </w:rPr>
        <w:t>村支两委一道拿出了三年计划、五年规划，并做好了贫困</w:t>
      </w:r>
      <w:r>
        <w:rPr>
          <w:rFonts w:hint="eastAsia" w:ascii="仿宋" w:hAnsi="仿宋" w:eastAsia="仿宋" w:cs="仿宋"/>
          <w:color w:val="000000"/>
          <w:kern w:val="0"/>
          <w:sz w:val="32"/>
          <w:szCs w:val="32"/>
          <w:lang w:val="en-US" w:eastAsia="zh-CN"/>
        </w:rPr>
        <w:t>户</w:t>
      </w:r>
      <w:r>
        <w:rPr>
          <w:rFonts w:hint="eastAsia" w:ascii="仿宋" w:hAnsi="仿宋" w:eastAsia="仿宋" w:cs="仿宋"/>
          <w:color w:val="000000"/>
          <w:kern w:val="0"/>
          <w:sz w:val="32"/>
          <w:szCs w:val="32"/>
        </w:rPr>
        <w:t>有关资料数据上报工作。</w:t>
      </w:r>
      <w:r>
        <w:rPr>
          <w:rFonts w:hint="eastAsia" w:ascii="仿宋" w:hAnsi="仿宋" w:eastAsia="仿宋" w:cs="仿宋"/>
          <w:color w:val="000000"/>
          <w:kern w:val="0"/>
          <w:sz w:val="32"/>
          <w:szCs w:val="32"/>
          <w:lang w:val="en-US" w:eastAsia="zh-CN"/>
        </w:rPr>
        <w:t>全年支持</w:t>
      </w:r>
      <w:r>
        <w:rPr>
          <w:rFonts w:hint="eastAsia" w:ascii="仿宋" w:hAnsi="仿宋" w:eastAsia="仿宋" w:cs="仿宋"/>
          <w:color w:val="000000"/>
          <w:kern w:val="0"/>
          <w:sz w:val="32"/>
          <w:szCs w:val="32"/>
        </w:rPr>
        <w:t>扶桥坝村帮扶资金2万元。</w:t>
      </w:r>
    </w:p>
    <w:p w14:paraId="7317E2DD">
      <w:pPr>
        <w:pageBreakBefore w:val="0"/>
        <w:widowControl/>
        <w:kinsoku/>
        <w:wordWrap/>
        <w:overflowPunct/>
        <w:topLinePunct w:val="0"/>
        <w:bidi w:val="0"/>
        <w:spacing w:line="600" w:lineRule="exact"/>
        <w:ind w:firstLine="640" w:firstLineChars="200"/>
        <w:textAlignment w:val="baseline"/>
        <w:rPr>
          <w:rFonts w:hint="eastAsia" w:ascii="仿宋" w:hAnsi="仿宋" w:eastAsia="仿宋" w:cs="仿宋"/>
          <w:color w:val="000000"/>
          <w:kern w:val="0"/>
          <w:sz w:val="32"/>
          <w:szCs w:val="32"/>
          <w:lang w:val="en-US" w:eastAsia="zh-CN"/>
        </w:rPr>
      </w:pPr>
      <w:r>
        <w:rPr>
          <w:rFonts w:hint="eastAsia" w:ascii="仿宋" w:hAnsi="仿宋" w:eastAsia="仿宋" w:cs="仿宋"/>
          <w:sz w:val="32"/>
          <w:szCs w:val="32"/>
          <w:lang w:val="en-US" w:eastAsia="zh-CN"/>
        </w:rPr>
        <w:t>6、</w:t>
      </w:r>
      <w:r>
        <w:rPr>
          <w:rFonts w:hint="eastAsia" w:ascii="仿宋" w:hAnsi="仿宋" w:eastAsia="仿宋" w:cs="仿宋"/>
          <w:sz w:val="32"/>
          <w:szCs w:val="32"/>
        </w:rPr>
        <w:t xml:space="preserve"> </w:t>
      </w:r>
      <w:r>
        <w:rPr>
          <w:rFonts w:hint="eastAsia" w:ascii="仿宋" w:hAnsi="仿宋" w:eastAsia="仿宋" w:cs="仿宋"/>
          <w:color w:val="000000"/>
          <w:kern w:val="0"/>
          <w:sz w:val="32"/>
          <w:szCs w:val="32"/>
        </w:rPr>
        <w:t>认真抓好综治民调工作，</w:t>
      </w:r>
      <w:r>
        <w:rPr>
          <w:rFonts w:hint="eastAsia" w:ascii="仿宋" w:hAnsi="仿宋" w:eastAsia="仿宋" w:cs="仿宋"/>
          <w:color w:val="000000"/>
          <w:kern w:val="0"/>
          <w:sz w:val="32"/>
          <w:szCs w:val="32"/>
          <w:lang w:val="en-US" w:eastAsia="zh-CN"/>
        </w:rPr>
        <w:t>全年</w:t>
      </w:r>
      <w:r>
        <w:rPr>
          <w:rFonts w:hint="eastAsia" w:ascii="仿宋" w:hAnsi="仿宋" w:eastAsia="仿宋" w:cs="仿宋"/>
          <w:color w:val="000000"/>
          <w:kern w:val="0"/>
          <w:sz w:val="32"/>
          <w:szCs w:val="32"/>
        </w:rPr>
        <w:t>发放</w:t>
      </w:r>
      <w:r>
        <w:rPr>
          <w:rFonts w:hint="eastAsia" w:ascii="仿宋" w:hAnsi="仿宋" w:eastAsia="仿宋" w:cs="仿宋"/>
          <w:color w:val="000000"/>
          <w:kern w:val="0"/>
          <w:sz w:val="32"/>
          <w:szCs w:val="32"/>
          <w:lang w:val="en-US" w:eastAsia="zh-CN"/>
        </w:rPr>
        <w:t>宣传</w:t>
      </w:r>
      <w:r>
        <w:rPr>
          <w:rFonts w:hint="eastAsia" w:ascii="仿宋" w:hAnsi="仿宋" w:eastAsia="仿宋" w:cs="仿宋"/>
          <w:color w:val="000000"/>
          <w:kern w:val="0"/>
          <w:sz w:val="32"/>
          <w:szCs w:val="32"/>
        </w:rPr>
        <w:t>资料约150份，做到宣传到位，思想到位。抓好“创卫工作”，保持好“创卫成果”，按时搞好联系珊瑚路路段及白竹亭社区的“全民卫生日”文明劝导，狠抓了机关独立院内的卫生保洁工作。</w:t>
      </w:r>
    </w:p>
    <w:p w14:paraId="6B48C019">
      <w:pPr>
        <w:pageBreakBefore w:val="0"/>
        <w:widowControl/>
        <w:numPr>
          <w:ilvl w:val="0"/>
          <w:numId w:val="3"/>
        </w:numPr>
        <w:kinsoku/>
        <w:wordWrap/>
        <w:overflowPunct/>
        <w:topLinePunct w:val="0"/>
        <w:bidi w:val="0"/>
        <w:spacing w:line="600" w:lineRule="exact"/>
        <w:ind w:firstLine="643" w:firstLineChars="200"/>
        <w:rPr>
          <w:rFonts w:hint="eastAsia" w:ascii="仿宋" w:hAnsi="仿宋" w:eastAsia="仿宋" w:cs="仿宋"/>
          <w:b/>
          <w:sz w:val="32"/>
          <w:szCs w:val="32"/>
        </w:rPr>
      </w:pPr>
      <w:r>
        <w:rPr>
          <w:rFonts w:hint="eastAsia" w:ascii="仿宋" w:hAnsi="仿宋" w:eastAsia="仿宋" w:cs="仿宋"/>
          <w:b/>
          <w:sz w:val="32"/>
          <w:szCs w:val="32"/>
        </w:rPr>
        <w:t>绩效自评得分情况及绩效等级。</w:t>
      </w:r>
    </w:p>
    <w:p w14:paraId="597144DE">
      <w:pPr>
        <w:pageBreakBefore w:val="0"/>
        <w:widowControl/>
        <w:numPr>
          <w:ilvl w:val="0"/>
          <w:numId w:val="0"/>
        </w:numPr>
        <w:kinsoku/>
        <w:wordWrap/>
        <w:overflowPunct/>
        <w:topLinePunct w:val="0"/>
        <w:bidi w:val="0"/>
        <w:spacing w:line="600" w:lineRule="exact"/>
        <w:rPr>
          <w:rFonts w:hint="eastAsia" w:ascii="仿宋" w:hAnsi="仿宋" w:eastAsia="仿宋" w:cs="仿宋"/>
          <w:b w:val="0"/>
          <w:bCs/>
          <w:sz w:val="32"/>
          <w:szCs w:val="32"/>
          <w:lang w:val="en-US" w:eastAsia="zh-CN"/>
        </w:rPr>
      </w:pPr>
      <w:r>
        <w:rPr>
          <w:rFonts w:hint="eastAsia" w:ascii="仿宋" w:hAnsi="仿宋" w:eastAsia="仿宋" w:cs="仿宋"/>
          <w:b/>
          <w:sz w:val="32"/>
          <w:szCs w:val="32"/>
          <w:lang w:val="en-US" w:eastAsia="zh-CN"/>
        </w:rPr>
        <w:t xml:space="preserve">   </w:t>
      </w:r>
      <w:r>
        <w:rPr>
          <w:rFonts w:hint="eastAsia" w:ascii="仿宋" w:hAnsi="仿宋" w:eastAsia="仿宋" w:cs="仿宋"/>
          <w:b w:val="0"/>
          <w:bCs/>
          <w:sz w:val="32"/>
          <w:szCs w:val="32"/>
          <w:lang w:val="en-US" w:eastAsia="zh-CN"/>
        </w:rPr>
        <w:t xml:space="preserve"> 投入得分10分，预算执行得分17分，预算管理35分，产出及效率得分27分，共计89分，绩效等级为良。</w:t>
      </w:r>
    </w:p>
    <w:p w14:paraId="32AE1D41">
      <w:pPr>
        <w:pageBreakBefore w:val="0"/>
        <w:widowControl/>
        <w:numPr>
          <w:ilvl w:val="0"/>
          <w:numId w:val="3"/>
        </w:numPr>
        <w:kinsoku/>
        <w:wordWrap/>
        <w:overflowPunct/>
        <w:topLinePunct w:val="0"/>
        <w:bidi w:val="0"/>
        <w:spacing w:line="600" w:lineRule="exact"/>
        <w:ind w:left="0" w:leftChars="0" w:firstLine="643" w:firstLineChars="200"/>
        <w:rPr>
          <w:rFonts w:hint="eastAsia" w:ascii="仿宋" w:hAnsi="仿宋" w:eastAsia="仿宋" w:cs="仿宋"/>
          <w:b/>
          <w:sz w:val="32"/>
          <w:szCs w:val="32"/>
        </w:rPr>
      </w:pPr>
      <w:r>
        <w:rPr>
          <w:rFonts w:hint="eastAsia" w:ascii="仿宋" w:hAnsi="仿宋" w:eastAsia="仿宋" w:cs="仿宋"/>
          <w:b/>
          <w:sz w:val="32"/>
          <w:szCs w:val="32"/>
        </w:rPr>
        <w:t>存在的问题</w:t>
      </w:r>
    </w:p>
    <w:p w14:paraId="181A5A7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left"/>
        <w:textAlignment w:val="auto"/>
        <w:outlineLvl w:val="9"/>
        <w:rPr>
          <w:rFonts w:hint="eastAsia" w:ascii="仿宋" w:hAnsi="仿宋" w:eastAsia="仿宋" w:cs="仿宋"/>
          <w:b/>
          <w:sz w:val="32"/>
          <w:szCs w:val="32"/>
        </w:rPr>
      </w:pPr>
      <w:r>
        <w:rPr>
          <w:rFonts w:hint="eastAsia" w:ascii="仿宋" w:hAnsi="仿宋" w:eastAsia="仿宋" w:cs="仿宋"/>
          <w:b w:val="0"/>
          <w:i w:val="0"/>
          <w:caps w:val="0"/>
          <w:color w:val="000000"/>
          <w:spacing w:val="0"/>
          <w:sz w:val="32"/>
          <w:szCs w:val="32"/>
          <w:shd w:val="clear" w:color="auto" w:fill="FFFFFF"/>
        </w:rPr>
        <w:t>年初编制的预算不够精确，导致年内预算有所追加，预算控制率不理想，影响单位评分及评价等次。</w:t>
      </w:r>
    </w:p>
    <w:p w14:paraId="6DEEA396">
      <w:pPr>
        <w:pageBreakBefore w:val="0"/>
        <w:widowControl/>
        <w:numPr>
          <w:ilvl w:val="0"/>
          <w:numId w:val="3"/>
        </w:numPr>
        <w:kinsoku/>
        <w:wordWrap/>
        <w:overflowPunct/>
        <w:topLinePunct w:val="0"/>
        <w:bidi w:val="0"/>
        <w:spacing w:line="600" w:lineRule="exact"/>
        <w:ind w:left="0" w:leftChars="0" w:firstLine="643" w:firstLineChars="200"/>
        <w:rPr>
          <w:rFonts w:hint="eastAsia" w:ascii="仿宋" w:hAnsi="仿宋" w:eastAsia="仿宋" w:cs="仿宋"/>
          <w:b/>
          <w:sz w:val="32"/>
          <w:szCs w:val="32"/>
        </w:rPr>
      </w:pPr>
      <w:r>
        <w:rPr>
          <w:rFonts w:hint="eastAsia" w:ascii="仿宋" w:hAnsi="仿宋" w:eastAsia="仿宋" w:cs="仿宋"/>
          <w:b/>
          <w:sz w:val="32"/>
          <w:szCs w:val="32"/>
        </w:rPr>
        <w:t>改进措施和有关建议</w:t>
      </w:r>
    </w:p>
    <w:p w14:paraId="0FD188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bidi w:val="0"/>
        <w:spacing w:before="0" w:beforeAutospacing="0" w:after="0" w:afterAutospacing="0" w:line="600" w:lineRule="exact"/>
        <w:ind w:right="0" w:firstLine="640" w:firstLineChars="200"/>
        <w:jc w:val="both"/>
        <w:rPr>
          <w:rFonts w:hint="eastAsia" w:ascii="仿宋" w:hAnsi="仿宋" w:eastAsia="仿宋" w:cs="仿宋"/>
          <w:bCs/>
          <w:sz w:val="32"/>
          <w:szCs w:val="32"/>
          <w:lang w:val="en-US" w:eastAsia="zh-CN"/>
        </w:rPr>
      </w:pPr>
      <w:r>
        <w:rPr>
          <w:rFonts w:hint="eastAsia" w:ascii="仿宋" w:hAnsi="仿宋" w:eastAsia="仿宋" w:cs="仿宋"/>
          <w:b w:val="0"/>
          <w:i w:val="0"/>
          <w:caps w:val="0"/>
          <w:color w:val="000000"/>
          <w:spacing w:val="0"/>
          <w:kern w:val="0"/>
          <w:sz w:val="32"/>
          <w:szCs w:val="32"/>
          <w:shd w:val="clear" w:color="auto" w:fill="FFFFFF"/>
          <w:lang w:val="en-US" w:eastAsia="zh-CN" w:bidi="ar"/>
        </w:rPr>
        <w:t>（一)</w:t>
      </w:r>
      <w:r>
        <w:rPr>
          <w:rFonts w:hint="eastAsia" w:ascii="仿宋" w:hAnsi="仿宋" w:eastAsia="仿宋" w:cs="仿宋"/>
          <w:bCs/>
          <w:sz w:val="32"/>
          <w:szCs w:val="32"/>
        </w:rPr>
        <w:t>严格按照预算编制的相关制度和要求进行预算的编制</w:t>
      </w:r>
      <w:r>
        <w:rPr>
          <w:rFonts w:hint="eastAsia" w:ascii="仿宋" w:hAnsi="仿宋" w:eastAsia="仿宋" w:cs="仿宋"/>
          <w:bCs/>
          <w:sz w:val="32"/>
          <w:szCs w:val="32"/>
          <w:lang w:eastAsia="zh-CN"/>
        </w:rPr>
        <w:t>。</w:t>
      </w:r>
    </w:p>
    <w:p w14:paraId="67E771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bidi w:val="0"/>
        <w:spacing w:before="0" w:beforeAutospacing="0" w:after="0" w:afterAutospacing="0" w:line="600" w:lineRule="exact"/>
        <w:ind w:right="0" w:firstLine="960" w:firstLineChars="300"/>
        <w:jc w:val="both"/>
        <w:rPr>
          <w:rFonts w:hint="eastAsia" w:ascii="仿宋" w:hAnsi="仿宋" w:eastAsia="仿宋" w:cs="仿宋"/>
          <w:b w:val="0"/>
          <w:i w:val="0"/>
          <w:caps w:val="0"/>
          <w:color w:val="222222"/>
          <w:spacing w:val="0"/>
          <w:sz w:val="32"/>
          <w:szCs w:val="32"/>
        </w:rPr>
      </w:pPr>
      <w:r>
        <w:rPr>
          <w:rFonts w:hint="eastAsia" w:ascii="仿宋" w:hAnsi="仿宋" w:eastAsia="仿宋" w:cs="仿宋"/>
          <w:bCs/>
          <w:sz w:val="32"/>
          <w:szCs w:val="32"/>
          <w:lang w:val="en-US" w:eastAsia="zh-CN"/>
        </w:rPr>
        <w:t>(二)</w:t>
      </w:r>
      <w:r>
        <w:rPr>
          <w:rFonts w:hint="eastAsia" w:ascii="仿宋" w:hAnsi="仿宋" w:eastAsia="仿宋" w:cs="仿宋"/>
          <w:b w:val="0"/>
          <w:i w:val="0"/>
          <w:caps w:val="0"/>
          <w:color w:val="000000"/>
          <w:spacing w:val="0"/>
          <w:kern w:val="0"/>
          <w:sz w:val="32"/>
          <w:szCs w:val="32"/>
          <w:shd w:val="clear" w:color="auto" w:fill="FFFFFF"/>
          <w:lang w:val="en-US" w:eastAsia="zh-CN" w:bidi="ar"/>
        </w:rPr>
        <w:t>建议加强政策学习，提高思想认识。组织单位人员认真学习《预算法》等相关法规、制度，提高单位领导对全面预算管理的重视程度，增强财务人员的预算意识，坚持先有预算、后有支出，没有预算不得支出的支出理念。</w:t>
      </w:r>
    </w:p>
    <w:p w14:paraId="14C990F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bidi w:val="0"/>
        <w:spacing w:before="0" w:beforeAutospacing="0" w:after="0" w:afterAutospacing="0" w:line="600" w:lineRule="exact"/>
        <w:ind w:right="0" w:firstLine="960" w:firstLineChars="300"/>
        <w:jc w:val="both"/>
        <w:rPr>
          <w:rFonts w:hint="eastAsia" w:ascii="仿宋" w:hAnsi="仿宋" w:eastAsia="仿宋" w:cs="仿宋"/>
          <w:sz w:val="32"/>
          <w:szCs w:val="32"/>
        </w:rPr>
      </w:pPr>
      <w:r>
        <w:rPr>
          <w:rFonts w:hint="eastAsia" w:ascii="仿宋" w:hAnsi="仿宋" w:eastAsia="仿宋" w:cs="仿宋"/>
          <w:b w:val="0"/>
          <w:i w:val="0"/>
          <w:caps w:val="0"/>
          <w:color w:val="000000"/>
          <w:spacing w:val="0"/>
          <w:kern w:val="0"/>
          <w:sz w:val="32"/>
          <w:szCs w:val="32"/>
          <w:shd w:val="clear" w:color="auto" w:fill="FFFFFF"/>
          <w:lang w:val="en-US" w:eastAsia="zh-CN" w:bidi="ar"/>
        </w:rPr>
        <w:t>（三）建议优化绩效评价指标计分标准，改善评价计分标准的不合理性，让评价结果更加公平公正。</w:t>
      </w:r>
    </w:p>
    <w:p w14:paraId="40F35753">
      <w:pPr>
        <w:pageBreakBefore w:val="0"/>
        <w:widowControl/>
        <w:numPr>
          <w:ilvl w:val="0"/>
          <w:numId w:val="0"/>
        </w:numPr>
        <w:kinsoku/>
        <w:wordWrap/>
        <w:overflowPunct/>
        <w:topLinePunct w:val="0"/>
        <w:bidi w:val="0"/>
        <w:spacing w:line="600" w:lineRule="exact"/>
        <w:ind w:leftChars="200"/>
        <w:rPr>
          <w:rFonts w:hint="eastAsia" w:ascii="仿宋" w:hAnsi="仿宋" w:eastAsia="仿宋" w:cs="仿宋"/>
          <w:b/>
          <w:sz w:val="32"/>
          <w:szCs w:val="32"/>
        </w:rPr>
      </w:pPr>
    </w:p>
    <w:p w14:paraId="5390B60C">
      <w:pPr>
        <w:pageBreakBefore w:val="0"/>
        <w:widowControl/>
        <w:kinsoku/>
        <w:wordWrap/>
        <w:overflowPunct/>
        <w:topLinePunct w:val="0"/>
        <w:bidi w:val="0"/>
        <w:spacing w:line="600" w:lineRule="exact"/>
        <w:rPr>
          <w:rFonts w:hint="eastAsia" w:ascii="仿宋" w:hAnsi="仿宋" w:eastAsia="仿宋" w:cs="仿宋"/>
          <w:sz w:val="32"/>
          <w:szCs w:val="32"/>
        </w:rPr>
      </w:pPr>
    </w:p>
    <w:sectPr>
      <w:footerReference r:id="rId5" w:type="default"/>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CF3C52"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3047B">
    <w:pPr>
      <w:pStyle w:val="2"/>
    </w:pPr>
    <w:r>
      <w:rPr>
        <w:sz w:val="18"/>
      </w:rPr>
      <w:pict>
        <v:shape id="_x0000_s4097" o:spid="_x0000_s4097"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23482A1">
                <w:pPr>
                  <w:pStyle w:val="2"/>
                  <w:rPr>
                    <w:rFonts w:hint="eastAsia" w:eastAsia="微软雅黑"/>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ED2986"/>
    <w:multiLevelType w:val="singleLevel"/>
    <w:tmpl w:val="EDED2986"/>
    <w:lvl w:ilvl="0" w:tentative="0">
      <w:start w:val="1"/>
      <w:numFmt w:val="decimal"/>
      <w:suff w:val="nothing"/>
      <w:lvlText w:val="%1、"/>
      <w:lvlJc w:val="left"/>
    </w:lvl>
  </w:abstractNum>
  <w:abstractNum w:abstractNumId="1">
    <w:nsid w:val="25E85B37"/>
    <w:multiLevelType w:val="singleLevel"/>
    <w:tmpl w:val="25E85B37"/>
    <w:lvl w:ilvl="0" w:tentative="0">
      <w:start w:val="4"/>
      <w:numFmt w:val="chineseCounting"/>
      <w:suff w:val="nothing"/>
      <w:lvlText w:val="%1、"/>
      <w:lvlJc w:val="left"/>
      <w:rPr>
        <w:rFonts w:hint="eastAsia"/>
      </w:rPr>
    </w:lvl>
  </w:abstractNum>
  <w:abstractNum w:abstractNumId="2">
    <w:nsid w:val="45CE8BDF"/>
    <w:multiLevelType w:val="singleLevel"/>
    <w:tmpl w:val="45CE8BDF"/>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hdrShapeDefaults>
    <o:shapelayout v:ext="edit">
      <o:idmap v:ext="edit" data="3,4"/>
    </o:shapelayout>
  </w:hdrShapeDefaults>
  <w:footnotePr>
    <w:footnote w:id="0"/>
    <w:footnote w:id="1"/>
  </w:footnotePr>
  <w:endnotePr>
    <w:endnote w:id="0"/>
    <w:endnote w:id="1"/>
  </w:endnotePr>
  <w:compat>
    <w:useFELayout/>
    <w:compatSetting w:name="compatibilityMode" w:uri="http://schemas.microsoft.com/office/word" w:val="12"/>
  </w:compat>
  <w:rsids>
    <w:rsidRoot w:val="00D31D50"/>
    <w:rsid w:val="00323B43"/>
    <w:rsid w:val="003D37D8"/>
    <w:rsid w:val="00426133"/>
    <w:rsid w:val="004358AB"/>
    <w:rsid w:val="008B7726"/>
    <w:rsid w:val="00A866C3"/>
    <w:rsid w:val="00D31D50"/>
    <w:rsid w:val="00D85D61"/>
    <w:rsid w:val="00FD4A6E"/>
    <w:rsid w:val="1794316B"/>
    <w:rsid w:val="182B7B46"/>
    <w:rsid w:val="1A222FD4"/>
    <w:rsid w:val="1F0D4EC5"/>
    <w:rsid w:val="296D4AB9"/>
    <w:rsid w:val="29FB6D64"/>
    <w:rsid w:val="2C222E2D"/>
    <w:rsid w:val="3317647F"/>
    <w:rsid w:val="3C283540"/>
    <w:rsid w:val="4F5C7A4B"/>
    <w:rsid w:val="5A6D0FB2"/>
    <w:rsid w:val="5D972705"/>
    <w:rsid w:val="640961E6"/>
    <w:rsid w:val="667926E1"/>
    <w:rsid w:val="71BE6109"/>
    <w:rsid w:val="72CA5C4E"/>
    <w:rsid w:val="75836E35"/>
    <w:rsid w:val="7D0D255A"/>
    <w:rsid w:val="7F1E3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99"/>
    <w:pPr>
      <w:spacing w:beforeAutospacing="1" w:afterAutospacing="1"/>
      <w:jc w:val="left"/>
    </w:pPr>
    <w:rPr>
      <w:kern w:val="0"/>
      <w:sz w:val="24"/>
      <w:szCs w:val="24"/>
    </w:rPr>
  </w:style>
  <w:style w:type="character" w:customStyle="1" w:styleId="7">
    <w:name w:val="页眉 Char"/>
    <w:basedOn w:val="6"/>
    <w:link w:val="3"/>
    <w:semiHidden/>
    <w:qFormat/>
    <w:uiPriority w:val="99"/>
    <w:rPr>
      <w:rFonts w:ascii="Tahoma" w:hAnsi="Tahoma"/>
      <w:sz w:val="18"/>
      <w:szCs w:val="18"/>
    </w:rPr>
  </w:style>
  <w:style w:type="character" w:customStyle="1" w:styleId="8">
    <w:name w:val="页脚 Char"/>
    <w:basedOn w:val="6"/>
    <w:link w:val="2"/>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2304</Words>
  <Characters>2372</Characters>
  <Lines>1</Lines>
  <Paragraphs>1</Paragraphs>
  <TotalTime>12</TotalTime>
  <ScaleCrop>false</ScaleCrop>
  <LinksUpToDate>false</LinksUpToDate>
  <CharactersWithSpaces>2399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lenovo</dc:creator>
  <cp:lastModifiedBy>自由行走的胡萝北</cp:lastModifiedBy>
  <dcterms:modified xsi:type="dcterms:W3CDTF">2025-01-03T02:57:43Z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AD441F6017A74955BE8AC525F33D812E</vt:lpwstr>
  </property>
  <property fmtid="{D5CDD505-2E9C-101B-9397-08002B2CF9AE}" pid="4" name="KSOTemplateDocerSaveRecord">
    <vt:lpwstr>eyJoZGlkIjoiNjE3MmM4Njk5ZDI1NTAxYzczOWE2ZDE3NmVmNzAwMzAiLCJ1c2VySWQiOiI0MTgyMjcyMzAifQ==</vt:lpwstr>
  </property>
</Properties>
</file>