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  <w:t>冷水滩区农经站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20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20</w:t>
      </w:r>
      <w:r>
        <w:rPr>
          <w:rFonts w:eastAsia="方正小标宋简体"/>
          <w:sz w:val="36"/>
          <w:szCs w:val="36"/>
        </w:rPr>
        <w:t>年度部门整体支出绩效</w:t>
      </w:r>
    </w:p>
    <w:p>
      <w:pPr>
        <w:jc w:val="center"/>
        <w:rPr>
          <w:rFonts w:ascii="宋体" w:hAnsi="宋体"/>
          <w:b/>
          <w:sz w:val="30"/>
          <w:szCs w:val="30"/>
        </w:rPr>
      </w:pPr>
      <w:r>
        <w:rPr>
          <w:rFonts w:eastAsia="方正小标宋简体"/>
          <w:sz w:val="36"/>
          <w:szCs w:val="36"/>
        </w:rPr>
        <w:t>自评报告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一、部门概况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（一）部门基本情况。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提出稳定和完善农村基本经营制度的政策建议；提出指导、扶持农民专业合作组织建设与发展的政策实施，开展服务与监督；指导村级集体经济发展和农村集体经济建设、资产财务管理和审计；宣传贯彻党和国家减轻农民负担示范、监测工作，协助涉及农民负担的重大案（事）件查处和信访处理，农村宅基地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2．机构情况。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冷水滩区农经站设三个股室：即办公室、农村经营服务指导股、农村产权交易流转中心。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3．人员编制情况：区农经站实有编制11人，在职编制7人（其中正科级编制2人，副科级编制2人，工勤人员编制3人）。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（二）2020年的重点工作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color w:val="000000"/>
          <w:positio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1、农村合作经济指导工作</w:t>
      </w:r>
    </w:p>
    <w:p>
      <w:pPr>
        <w:ind w:firstLine="643" w:firstLineChars="200"/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position w:val="0"/>
          <w:sz w:val="32"/>
          <w:szCs w:val="32"/>
          <w:lang w:eastAsia="zh-CN"/>
        </w:rPr>
        <w:t>（一）深入推进乡村治理体系建设。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 w:bidi="ar"/>
        </w:rPr>
        <w:t>涌现了上岭桥镇仁山村全省2020年乡村治理示范村等一批典型。</w:t>
      </w:r>
      <w:r>
        <w:rPr>
          <w:rFonts w:hint="default" w:ascii="仿宋" w:hAnsi="仿宋" w:eastAsia="仿宋" w:cs="仿宋"/>
          <w:b w:val="0"/>
          <w:color w:val="000000"/>
          <w:kern w:val="0"/>
          <w:sz w:val="32"/>
          <w:szCs w:val="32"/>
          <w:lang w:val="en-US" w:eastAsia="zh-CN" w:bidi="ar"/>
        </w:rPr>
        <w:t>做好乡村治理基础性工作。完善农民负担监测制度，创新农民负担监管方式。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position w:val="0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促进农民合作社等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新型经营主体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健康发展。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 w:bidi="ar"/>
        </w:rPr>
        <w:t>（三）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加快发展农业专业化社会化服务。</w:t>
      </w:r>
    </w:p>
    <w:p>
      <w:pPr>
        <w:pStyle w:val="2"/>
        <w:ind w:firstLine="643" w:firstLineChars="200"/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position w:val="0"/>
          <w:sz w:val="32"/>
          <w:szCs w:val="32"/>
          <w:lang w:eastAsia="zh-CN"/>
        </w:rPr>
        <w:t>（四）农村宅基地管理和改革。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 w:bidi="ar"/>
        </w:rPr>
        <w:t>2020年1月1日来新增农村建房1122宗，批准面积168.01亩。其中原址原建914宗，异地新建204宗，开展巡查调查123次，查处违法建设3处，2021年农村宅基地建房需求户数3872户，20598人。</w:t>
      </w:r>
    </w:p>
    <w:p>
      <w:pPr>
        <w:pStyle w:val="2"/>
        <w:ind w:firstLine="640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"/>
        </w:rPr>
        <w:t>2、政策与改革业务工作</w:t>
      </w:r>
    </w:p>
    <w:p>
      <w:pPr>
        <w:pStyle w:val="2"/>
        <w:ind w:firstLine="643" w:firstLineChars="200"/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（一）农村土地承包地确权。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 w:bidi="ar"/>
        </w:rPr>
        <w:t>土地确权登记颁证应用信息平台。巩固和完善农村基本经营制度。落实保持土地承包关系稳定并长久不变政策，有序开展第二轮土地承包到期后再延长三十年试点摸底，推进农村承包地“三权分置”。</w:t>
      </w:r>
    </w:p>
    <w:p>
      <w:pPr>
        <w:pStyle w:val="2"/>
        <w:ind w:firstLine="643" w:firstLineChars="200"/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（二）农村集体产权制度改革。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lang w:val="en-US" w:eastAsia="zh-CN" w:bidi="ar"/>
        </w:rPr>
        <w:t>2020年末全区180个涉改村全面完成改革任务。共清理资产10.61亿元，集体土地总面积148.63万亩，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（三）部门整体支出情况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2020年预算安排总支出342.45万元，其中工资福利支出72.38万元（其中包括住房公积金4.534万元），一般商品和服务支出7.795万元，对个人和家庭的补助支出2.1万元。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二、部门整体支出管理及使用情况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（一）基本支出情况。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2020年预算安排基本支出82.459万元，其中其中工资福利支出72.379万元（其中包括住房公积金4.534万元），一般商品和服务支出7.9795万元，对个人和家庭的补助支出2.1万元。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项目支出情况。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2020年项目支出260万元，其中农村产权制度改革支出20万元，农村综合改革项村集体经济发展补助支出240万元。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（三）“三公”经费情况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1．因公出国（境）费用：无支出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2．公务接待费：9300元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3．公务用车购置及运行费：单位无公车，无支出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三、部门整体支出绩效情况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做到在预算安排内保障单位职工工资福利发放，做到政务、程序、预决算公开，厉行节约，提高固定资产利用效率，提高办事效率，办事程序公开，办事实际操作性增强，加强专业性技术指导，减少纠纷矛盾发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四、绩效自评得分情况及绩效等级。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自评得分100分、绩效等级：优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五、存在的问题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1.绩效管理基础薄弱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　　农经站为农业委二级单位，对绩效管理的重要性认识不足，没有经常研究绩效管理目标，执行工作时又由于缺乏压力，管理松懈，不能实现统一协调，这导致绩效管理工作职能通常流于形式，不能保证绩效考评的质量，工作的积级性、主动性发挥不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2.绩效管理体系不完善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　　绩效管理有效运行必须以完善的绩效管理体系为平台，但是目前单位绩效管理并没有形成完备的系统，可操作性不强，考核过程中公平公正性、客观性难以得到保证，无法达到“奖优罚劣”的绩效管理目标。 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六、改进措施和有关建议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1.深化对绩效管理工作的认识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　　绩效管理在单位管理中具有很重要的作用，应在单位内部加强宣传。主要领导应该做好表率作用，加强自身建设，提高管理能力，将绩效管理工作提到日常议事日程中，通过检查和督促，推动绩效管理工作的顺利开展。强化员干部职工竞争与风险意识，不断发挥干部职工工作积极性、创造性与能动性。只有在单位内部形成互动参与的良好局面，才能令绩效管理发挥作用，推动单位自身的改革与发展。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宋体" w:hAnsi="宋体"/>
          <w:b w:val="0"/>
          <w:bCs/>
          <w:sz w:val="30"/>
          <w:szCs w:val="30"/>
          <w:lang w:eastAsia="zh-CN"/>
        </w:rPr>
        <w:t>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　2.完善与健全绩效管理体系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　　合理有效的绩效管理能够优化岗位配置，实现人岗优化配置，职责明确，关键岗位重点考核，另一方面能实现“奖优惩劣”，奖励优秀员工，鞭策落后员工，增强竞争意识，切实培养干部职工的工作能力，提高事业单位整体工作绩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3.重视反馈工作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　　绩效考核工作不应该止于得到考核结果，单位应该重视绩效考核结果的处理与反馈。要对考核结果进行分析，找出工作中的不足，提出建设性的综合意见，并加强反馈环节，以此来指导以后的工作。绩效考核的结果还应与有效的薪酬激励计划相联系，绩效结果应作为薪资调整、岗位调整的重要参考依据，这能让绩效管理真正具有动力与激励作用，提高干部职员和组织整体的效率与效益。 </w:t>
      </w:r>
      <w:bookmarkStart w:id="0" w:name="_GoBack"/>
      <w:bookmarkEnd w:id="0"/>
    </w:p>
    <w:p>
      <w:pPr>
        <w:ind w:firstLine="600"/>
        <w:rPr>
          <w:rFonts w:hint="eastAsia" w:ascii="宋体" w:hAnsi="宋体"/>
          <w:b w:val="0"/>
          <w:bCs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永州市冷水滩区农经站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2021年2月26日</w:t>
      </w:r>
    </w:p>
    <w:p>
      <w:pPr>
        <w:ind w:firstLine="600"/>
        <w:rPr>
          <w:rFonts w:hint="eastAsia" w:ascii="宋体" w:hAnsi="宋体"/>
          <w:b w:val="0"/>
          <w:bCs/>
          <w:sz w:val="30"/>
          <w:szCs w:val="30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2718D9"/>
    <w:multiLevelType w:val="singleLevel"/>
    <w:tmpl w:val="F52718D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54564"/>
    <w:rsid w:val="07A55C62"/>
    <w:rsid w:val="085C3C6F"/>
    <w:rsid w:val="0A9F58EF"/>
    <w:rsid w:val="0AA710B5"/>
    <w:rsid w:val="15732ECF"/>
    <w:rsid w:val="161F317E"/>
    <w:rsid w:val="28576033"/>
    <w:rsid w:val="287C1675"/>
    <w:rsid w:val="3B0E3B3F"/>
    <w:rsid w:val="4A8B4924"/>
    <w:rsid w:val="4C966FF3"/>
    <w:rsid w:val="53A21542"/>
    <w:rsid w:val="549A7F76"/>
    <w:rsid w:val="59735F31"/>
    <w:rsid w:val="5EAC6F03"/>
    <w:rsid w:val="61763924"/>
    <w:rsid w:val="644F5419"/>
    <w:rsid w:val="647B3174"/>
    <w:rsid w:val="65D92C48"/>
    <w:rsid w:val="6D6F7B08"/>
    <w:rsid w:val="6E452F26"/>
    <w:rsid w:val="6E54070C"/>
    <w:rsid w:val="6EAA681E"/>
    <w:rsid w:val="741F39F0"/>
    <w:rsid w:val="77004E51"/>
    <w:rsid w:val="7B371F0C"/>
    <w:rsid w:val="7D7E2924"/>
    <w:rsid w:val="7EB5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2019-02-21T03:46:00Z</cp:lastPrinted>
  <dcterms:modified xsi:type="dcterms:W3CDTF">2021-06-03T11:37:25Z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DCCADD595EA743E787942787C334DA0C</vt:lpwstr>
  </property>
</Properties>
</file>