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2" w:afterAutospacing="0"/>
        <w:jc w:val="center"/>
      </w:pPr>
      <w:r>
        <w:rPr>
          <w:rStyle w:val="4"/>
          <w:rFonts w:ascii="宋体" w:hAnsi="宋体" w:eastAsia="宋体" w:cs="宋体"/>
          <w:color w:val="000000"/>
          <w:sz w:val="48"/>
          <w:szCs w:val="48"/>
        </w:rPr>
        <w:t>永州市冷水滩区科技和工业信息化局2022年部门预算公开说明</w:t>
      </w:r>
      <w:r>
        <w:rPr>
          <w:color w:val="000000"/>
        </w:rPr>
        <w:t xml:space="preserve"> </w:t>
      </w:r>
    </w:p>
    <w:p>
      <w:pPr>
        <w:spacing w:before="0" w:beforeAutospacing="0" w:after="2" w:afterAutospacing="0"/>
        <w:jc w:val="center"/>
      </w:pPr>
      <w:r>
        <w:rPr>
          <w:rFonts w:ascii="宋体" w:hAnsi="宋体" w:eastAsia="宋体" w:cs="宋体"/>
          <w:color w:val="000000"/>
          <w:sz w:val="32"/>
          <w:szCs w:val="32"/>
        </w:rPr>
        <w:t> </w:t>
      </w:r>
      <w:r>
        <w:rPr>
          <w:color w:val="000000"/>
        </w:rPr>
        <w:t xml:space="preserve"> </w:t>
      </w:r>
    </w:p>
    <w:p>
      <w:pPr>
        <w:spacing w:before="0" w:beforeAutospacing="0" w:after="2" w:afterAutospacing="0"/>
        <w:jc w:val="center"/>
      </w:pPr>
      <w:r>
        <w:rPr>
          <w:rStyle w:val="4"/>
          <w:rFonts w:ascii="宋体" w:hAnsi="宋体" w:eastAsia="宋体" w:cs="宋体"/>
          <w:color w:val="000000"/>
          <w:sz w:val="36"/>
          <w:szCs w:val="36"/>
        </w:rPr>
        <w:t>目 录</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第一部分 2022年部门预算说明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2022年部门预算表</w:t>
      </w:r>
      <w:r>
        <w:rPr>
          <w:color w:val="000000"/>
        </w:rPr>
        <w:t xml:space="preserve">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1、收支总表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2、收入总表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3、支出总表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4、支出预算分类汇总表（按政府预算经济分类）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5、支出预算分类汇总表（按部门预算经济分类）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6、财政拨款收支总表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7、一般公共预算支出表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8、一般公共预算基本支出表</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9、一般公共预算基本支出表--人员经费(工资福利支出)(按政府预算经济分类)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10、一般公共预算基本支出表--人员经费(工资福利支出)(按部门预算经济分类)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11、一般公共预算基本支出表--人员经费(对个人和家庭的补助)(按政府预算经济分类)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12、一般公共预算基本支出表--人员经费(对个人和家庭的补助)（按部门预算经济分类）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13、一般公共预算基本支出表--公用经费(商品和服务支出)（按政府预算经济分类）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14、一般公共预算基本支出表--公用经费(商品和服务支出)(按部门预算经济分类)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15、一般公共预算“三公”经费支出表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16、政府性基金预算支出表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17、政府性基金预算支出分类汇总表（按政府预算经济分类）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18、政府性基金预算支出分类汇总表（按部门预算经济分类）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19、国有资本经营预算表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20、财政专户管理资金预算支出表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21、专项资金预算汇总表 </w:t>
      </w:r>
    </w:p>
    <w:p>
      <w:pPr>
        <w:spacing w:before="0" w:beforeAutospacing="0" w:after="2" w:afterAutospacing="0"/>
        <w:ind w:lef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22、其他项目支出绩效目标表 </w:t>
      </w:r>
    </w:p>
    <w:p>
      <w:pPr>
        <w:spacing w:before="0" w:beforeAutospacing="0" w:after="2" w:afterAutospacing="0"/>
        <w:ind w:left="0" w:firstLine="640"/>
        <w:jc w:val="both"/>
        <w:rPr>
          <w:rFonts w:ascii="宋体" w:hAnsi="宋体" w:eastAsia="宋体" w:cs="宋体"/>
          <w:color w:val="000000"/>
          <w:sz w:val="32"/>
          <w:szCs w:val="32"/>
        </w:rPr>
      </w:pPr>
      <w:r>
        <w:rPr>
          <w:rFonts w:hint="eastAsia" w:ascii="宋体" w:hAnsi="宋体" w:eastAsia="宋体" w:cs="宋体"/>
          <w:color w:val="000000"/>
          <w:sz w:val="32"/>
          <w:szCs w:val="32"/>
        </w:rPr>
        <w:t xml:space="preserve">23、部门整体支出绩效目标表 </w:t>
      </w:r>
    </w:p>
    <w:p>
      <w:pPr>
        <w:spacing w:before="0" w:beforeAutospacing="0" w:after="2" w:afterAutospacing="0"/>
        <w:ind w:left="0" w:firstLine="640"/>
        <w:jc w:val="both"/>
      </w:pPr>
      <w:r>
        <w:rPr>
          <w:color w:val="000000"/>
        </w:rPr>
        <w:t xml:space="preserve"> </w:t>
      </w:r>
    </w:p>
    <w:p>
      <w:pPr>
        <w:spacing w:before="0" w:beforeAutospacing="0" w:after="2" w:afterAutospacing="0"/>
        <w:ind w:left="0" w:firstLine="643"/>
      </w:pPr>
      <w:r>
        <w:rPr>
          <w:rStyle w:val="4"/>
          <w:rFonts w:ascii="宋体" w:hAnsi="宋体" w:eastAsia="宋体" w:cs="宋体"/>
          <w:color w:val="000000"/>
          <w:sz w:val="32"/>
          <w:szCs w:val="32"/>
        </w:rPr>
        <w:t>注：以上部门预算报表中，空表表示本部门无相关收支情况。</w:t>
      </w:r>
      <w:r>
        <w:rPr>
          <w:color w:val="000000"/>
        </w:rPr>
        <w:t xml:space="preserve"> </w:t>
      </w:r>
      <w:bookmarkStart w:id="0" w:name="_GoBack"/>
      <w:bookmarkEnd w:id="0"/>
    </w:p>
    <w:p>
      <w:pPr>
        <w:spacing w:before="0" w:beforeAutospacing="0" w:after="2" w:afterAutospacing="0"/>
      </w:pPr>
      <w:r>
        <w:rPr>
          <w:rFonts w:ascii="宋体" w:hAnsi="宋体" w:eastAsia="宋体" w:cs="宋体"/>
          <w:color w:val="000000"/>
          <w:sz w:val="32"/>
          <w:szCs w:val="32"/>
        </w:rPr>
        <w:t> </w:t>
      </w:r>
      <w:r>
        <w:rPr>
          <w:color w:val="000000"/>
        </w:rPr>
        <w:t xml:space="preserve"> </w:t>
      </w:r>
    </w:p>
    <w:p>
      <w:pPr>
        <w:spacing w:before="0" w:beforeAutospacing="0" w:after="2" w:afterAutospacing="0"/>
      </w:pPr>
    </w:p>
    <w:p>
      <w:pPr>
        <w:spacing w:before="0" w:beforeAutospacing="0" w:after="2" w:afterAutospacing="0"/>
        <w:jc w:val="center"/>
      </w:pPr>
      <w:r>
        <w:rPr>
          <w:rStyle w:val="4"/>
          <w:rFonts w:ascii="宋体" w:hAnsi="宋体" w:eastAsia="宋体" w:cs="宋体"/>
          <w:color w:val="000000"/>
          <w:sz w:val="40"/>
          <w:szCs w:val="40"/>
        </w:rPr>
        <w:t>第一部分 2022年部门预算说明</w:t>
      </w:r>
      <w:r>
        <w:rPr>
          <w:color w:val="000000"/>
        </w:rPr>
        <w:t xml:space="preserve"> </w:t>
      </w:r>
    </w:p>
    <w:p>
      <w:pPr>
        <w:spacing w:before="0" w:beforeAutospacing="0" w:after="2" w:afterAutospacing="0"/>
      </w:pPr>
      <w:r>
        <w:rPr>
          <w:rFonts w:ascii="宋体" w:hAnsi="宋体" w:eastAsia="宋体" w:cs="宋体"/>
          <w:b/>
          <w:bCs/>
          <w:color w:val="000000"/>
          <w:sz w:val="32"/>
          <w:szCs w:val="32"/>
        </w:rPr>
        <w:t> </w:t>
      </w:r>
      <w:r>
        <w:rPr>
          <w:color w:val="000000"/>
        </w:rPr>
        <w:t xml:space="preserve"> </w:t>
      </w:r>
    </w:p>
    <w:p>
      <w:pPr>
        <w:spacing w:before="0" w:beforeAutospacing="0" w:after="2" w:afterAutospacing="0"/>
        <w:ind w:left="0" w:firstLine="627"/>
      </w:pPr>
      <w:r>
        <w:rPr>
          <w:rStyle w:val="4"/>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pPr>
        <w:spacing w:before="0" w:beforeAutospacing="0" w:after="2" w:afterAutospacing="0"/>
        <w:ind w:left="0" w:firstLine="630"/>
        <w:rPr>
          <w:color w:val="auto"/>
        </w:rPr>
      </w:pPr>
      <w:r>
        <w:rPr>
          <w:rFonts w:ascii="宋体" w:hAnsi="宋体" w:eastAsia="宋体" w:cs="宋体"/>
          <w:color w:val="000000"/>
          <w:sz w:val="32"/>
          <w:szCs w:val="32"/>
        </w:rPr>
        <w:t>1、负责冷水滩区城内加速推进新型工业化工作，具体包括区域内工业企业的生产调度、工业固定资产投资、技术改造、节能降耗、科技进步、</w:t>
      </w:r>
      <w:r>
        <w:rPr>
          <w:rFonts w:ascii="宋体" w:hAnsi="宋体" w:eastAsia="宋体" w:cs="宋体"/>
          <w:color w:val="auto"/>
          <w:sz w:val="32"/>
          <w:szCs w:val="32"/>
        </w:rPr>
        <w:t xml:space="preserve">扭亏增盈等； </w:t>
      </w:r>
    </w:p>
    <w:p>
      <w:pPr>
        <w:spacing w:before="0" w:beforeAutospacing="0" w:after="2" w:afterAutospacing="0"/>
        <w:ind w:left="0" w:firstLine="630"/>
      </w:pPr>
      <w:r>
        <w:rPr>
          <w:rFonts w:ascii="宋体" w:hAnsi="宋体" w:eastAsia="宋体" w:cs="宋体"/>
          <w:color w:val="000000"/>
          <w:sz w:val="32"/>
          <w:szCs w:val="32"/>
        </w:rPr>
        <w:t xml:space="preserve">2、负责全区民因经济的协调管理； </w:t>
      </w:r>
    </w:p>
    <w:p>
      <w:pPr>
        <w:spacing w:before="0" w:beforeAutospacing="0" w:after="2" w:afterAutospacing="0"/>
        <w:ind w:left="0" w:firstLine="630"/>
      </w:pPr>
      <w:r>
        <w:rPr>
          <w:rFonts w:ascii="宋体" w:hAnsi="宋体" w:eastAsia="宋体" w:cs="宋体"/>
          <w:color w:val="000000"/>
          <w:sz w:val="32"/>
          <w:szCs w:val="32"/>
        </w:rPr>
        <w:t xml:space="preserve">3、对企业实施全方位的优质服务； </w:t>
      </w:r>
    </w:p>
    <w:p>
      <w:pPr>
        <w:spacing w:before="0" w:beforeAutospacing="0" w:after="2" w:afterAutospacing="0"/>
        <w:ind w:left="0" w:firstLine="630"/>
      </w:pPr>
      <w:r>
        <w:rPr>
          <w:rFonts w:ascii="宋体" w:hAnsi="宋体" w:eastAsia="宋体" w:cs="宋体"/>
          <w:color w:val="000000"/>
          <w:sz w:val="32"/>
          <w:szCs w:val="32"/>
        </w:rPr>
        <w:t xml:space="preserve">4、协调全区电力工作； </w:t>
      </w:r>
    </w:p>
    <w:p>
      <w:pPr>
        <w:spacing w:before="0" w:beforeAutospacing="0" w:after="2" w:afterAutospacing="0"/>
        <w:ind w:left="0" w:firstLine="630"/>
      </w:pPr>
      <w:r>
        <w:rPr>
          <w:rFonts w:ascii="宋体" w:hAnsi="宋体" w:eastAsia="宋体" w:cs="宋体"/>
          <w:color w:val="000000"/>
          <w:sz w:val="32"/>
          <w:szCs w:val="32"/>
        </w:rPr>
        <w:t xml:space="preserve">5、负责现有的11家国有工业企业的改制，2021年重点推进零陵水泥厂、陶瓷厂、煤炭公司、内衣厂，制革厂的改制； </w:t>
      </w:r>
    </w:p>
    <w:p>
      <w:pPr>
        <w:spacing w:before="0" w:beforeAutospacing="0" w:after="2" w:afterAutospacing="0"/>
        <w:ind w:left="0" w:firstLine="630"/>
      </w:pPr>
      <w:r>
        <w:rPr>
          <w:rFonts w:ascii="宋体" w:hAnsi="宋体" w:eastAsia="宋体" w:cs="宋体"/>
          <w:color w:val="000000"/>
          <w:sz w:val="32"/>
          <w:szCs w:val="32"/>
        </w:rPr>
        <w:t xml:space="preserve">6、是维护工业企业和已改制企业的稳定； </w:t>
      </w:r>
    </w:p>
    <w:p>
      <w:pPr>
        <w:spacing w:before="0" w:beforeAutospacing="0" w:after="2" w:afterAutospacing="0"/>
        <w:ind w:left="0" w:firstLine="630"/>
      </w:pPr>
      <w:r>
        <w:rPr>
          <w:rFonts w:ascii="宋体" w:hAnsi="宋体" w:eastAsia="宋体" w:cs="宋体"/>
          <w:color w:val="000000"/>
          <w:sz w:val="32"/>
          <w:szCs w:val="32"/>
        </w:rPr>
        <w:t xml:space="preserve">7、负责协调全区重点工业能源类项目的调度，完成联系项目的税收； </w:t>
      </w:r>
    </w:p>
    <w:p>
      <w:pPr>
        <w:spacing w:before="0" w:beforeAutospacing="0" w:after="2" w:afterAutospacing="0"/>
        <w:ind w:left="0" w:firstLine="630"/>
      </w:pPr>
      <w:r>
        <w:rPr>
          <w:rFonts w:ascii="宋体" w:hAnsi="宋体" w:eastAsia="宋体" w:cs="宋体"/>
          <w:color w:val="000000"/>
          <w:sz w:val="32"/>
          <w:szCs w:val="32"/>
        </w:rPr>
        <w:t xml:space="preserve">8、贯彻执行党和国家关于科技工作的方针、政策、法规，监督检查执行情况。负责全区科技事业发展工作，指导协调各乡镇（街道办事处）和区直各部门的科技管理，协调办理全区独立科研机构报批手续； </w:t>
      </w:r>
    </w:p>
    <w:p>
      <w:pPr>
        <w:spacing w:before="0" w:beforeAutospacing="0" w:after="2" w:afterAutospacing="0"/>
        <w:ind w:left="0" w:firstLine="630"/>
      </w:pPr>
      <w:r>
        <w:rPr>
          <w:rFonts w:ascii="宋体" w:hAnsi="宋体" w:eastAsia="宋体" w:cs="宋体"/>
          <w:color w:val="000000"/>
          <w:sz w:val="32"/>
          <w:szCs w:val="32"/>
        </w:rPr>
        <w:t xml:space="preserve">9、负责民营科研机构审批及业务管理。负责全区重大科技成果鉴定、登记、奖励和申报国家、省、市级成果；帮助企业申办科技新产品证书；推广应用科技成果；主管科技成果保密工作；负责对科技成果的出口项目进步技术审查、保密审查和申报工作； </w:t>
      </w:r>
    </w:p>
    <w:p>
      <w:pPr>
        <w:spacing w:before="0" w:beforeAutospacing="0" w:after="2" w:afterAutospacing="0"/>
        <w:ind w:left="0" w:firstLine="630"/>
      </w:pPr>
      <w:r>
        <w:rPr>
          <w:rFonts w:ascii="宋体" w:hAnsi="宋体" w:eastAsia="宋体" w:cs="宋体"/>
          <w:color w:val="000000"/>
          <w:sz w:val="32"/>
          <w:szCs w:val="32"/>
        </w:rPr>
        <w:t xml:space="preserve">10、完成区委、政府交办的其它任务。 </w:t>
      </w:r>
    </w:p>
    <w:p>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pPr>
        <w:spacing w:before="0" w:beforeAutospacing="0" w:after="2" w:afterAutospacing="0"/>
        <w:ind w:left="0" w:firstLine="630"/>
        <w:rPr>
          <w:color w:val="auto"/>
        </w:rPr>
      </w:pPr>
      <w:r>
        <w:rPr>
          <w:rFonts w:ascii="宋体" w:hAnsi="宋体" w:eastAsia="宋体" w:cs="宋体"/>
          <w:color w:val="000000"/>
          <w:sz w:val="32"/>
          <w:szCs w:val="32"/>
        </w:rPr>
        <w:t>永州市冷水滩区科技和工业信息化局内设机构包括</w:t>
      </w:r>
      <w:r>
        <w:rPr>
          <w:rFonts w:ascii="宋体" w:hAnsi="宋体" w:eastAsia="宋体" w:cs="宋体"/>
          <w:color w:val="70AD47" w:themeColor="accent6"/>
          <w:sz w:val="32"/>
          <w:szCs w:val="32"/>
          <w14:textFill>
            <w14:solidFill>
              <w14:schemeClr w14:val="accent6"/>
            </w14:solidFill>
          </w14:textFill>
        </w:rPr>
        <w:t>：</w:t>
      </w:r>
      <w:r>
        <w:rPr>
          <w:rFonts w:ascii="宋体" w:hAnsi="宋体" w:eastAsia="宋体" w:cs="宋体"/>
          <w:color w:val="auto"/>
          <w:sz w:val="32"/>
          <w:szCs w:val="32"/>
        </w:rPr>
        <w:t>办公室、政工室、经济运行室、能源运行室、交通运输协调股、中小企业服务中心、科技股、电子信息产业和信息化推进股、工业技术改造股、科技成果与技术市场股等10个。</w:t>
      </w:r>
      <w:r>
        <w:rPr>
          <w:color w:val="auto"/>
        </w:rPr>
        <w:t xml:space="preserve"> </w:t>
      </w:r>
    </w:p>
    <w:p>
      <w:pPr>
        <w:spacing w:before="0" w:beforeAutospacing="0" w:after="2" w:afterAutospacing="0"/>
        <w:ind w:left="0" w:firstLine="627"/>
      </w:pPr>
      <w:r>
        <w:rPr>
          <w:rStyle w:val="4"/>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永州市冷水滩区科技和工业信息化局部门只有本级，没有其他二级预算单位，因此，纳入2022年部门预算编制范围的只有永州市冷水滩区科技和工业信息化局部门本级。</w:t>
      </w:r>
      <w:r>
        <w:rPr>
          <w:color w:val="000000"/>
        </w:rPr>
        <w:t xml:space="preserve"> </w:t>
      </w:r>
    </w:p>
    <w:p>
      <w:pPr>
        <w:spacing w:before="0" w:beforeAutospacing="0" w:after="2" w:afterAutospacing="0"/>
        <w:ind w:left="0" w:firstLine="627"/>
      </w:pPr>
      <w:r>
        <w:rPr>
          <w:rStyle w:val="4"/>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2022年本部门收入预算484.67万元，其中，一般公共预算拨款484.67万元，政府性基金预算拨款0万元，上年结转0万元。收入较去年增加5.9万元，主要原因是工资标准提高等。</w:t>
      </w:r>
      <w:r>
        <w:rPr>
          <w:color w:val="000000"/>
        </w:rPr>
        <w:t xml:space="preserve"> </w:t>
      </w:r>
    </w:p>
    <w:p>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 xml:space="preserve">2022年本部门支出预算484.67万元，其中：科学技术支出409.5万元，社会保障和就业支出33.08万元，卫生健康支出17.99万元，住房保障支出24.11万元，年终结转结余0万元。支出较去年增加5.9万元，主要原因是工资标准提高等。 </w:t>
      </w:r>
    </w:p>
    <w:p>
      <w:pPr>
        <w:spacing w:before="0" w:beforeAutospacing="0" w:after="2" w:afterAutospacing="0"/>
        <w:ind w:left="0" w:firstLine="660"/>
      </w:pPr>
      <w:r>
        <w:rPr>
          <w:rStyle w:val="4"/>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2022年本部门一般公共预算拨款支出预算484.67万元，具体安排情况如下：</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2022年本部门基本支出预算445.32万元，主要是为保障部门正常运转、完成日常工作任务而发生的各项支出，包括用于基本工资、津贴补贴等人员经费以及办公费、印刷费、水电费、办公设备购置等公用经费。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2022年本部门项目支出预算39.35万元，主要是部门为完成特定行政工作任务或事业发展目标而发生的支出，包括有关事业发展专项、专项业务费、基本建设支出等，其中：一般行政管理事务支出19.35万元，主要用于中小企业服务及推新工作等方面；科技成果转化与扩散支出20万元，主要用于奖励企业及科技宣传等方面。</w:t>
      </w:r>
      <w:r>
        <w:rPr>
          <w:color w:val="000000"/>
        </w:rPr>
        <w:t xml:space="preserve"> </w:t>
      </w:r>
    </w:p>
    <w:p>
      <w:pPr>
        <w:spacing w:before="0" w:beforeAutospacing="0" w:after="2" w:afterAutospacing="0"/>
        <w:ind w:left="0" w:firstLine="660"/>
      </w:pPr>
      <w:r>
        <w:rPr>
          <w:rStyle w:val="4"/>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2022年本单位无政府性基金预算拨款。</w:t>
      </w:r>
      <w:r>
        <w:rPr>
          <w:color w:val="000000"/>
        </w:rPr>
        <w:t xml:space="preserve"> </w:t>
      </w:r>
    </w:p>
    <w:p>
      <w:pPr>
        <w:spacing w:before="0" w:beforeAutospacing="0" w:after="2" w:afterAutospacing="0"/>
        <w:ind w:left="0" w:firstLine="660"/>
      </w:pPr>
      <w:r>
        <w:rPr>
          <w:rStyle w:val="4"/>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（一）机关运行经费：</w:t>
      </w:r>
      <w:r>
        <w:rPr>
          <w:rFonts w:ascii="宋体" w:hAnsi="宋体" w:eastAsia="宋体" w:cs="宋体"/>
          <w:color w:val="000000"/>
          <w:sz w:val="32"/>
          <w:szCs w:val="32"/>
        </w:rPr>
        <w:t>2022年机关运行经费当年一般公共预算拨款62.27万元，比上年预算增加10.23万元，增长19.65%，主要原因是根据实际工作需要，基本支出增加10.23万元。</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（二）“三公”经费预算：</w:t>
      </w:r>
      <w:r>
        <w:rPr>
          <w:rFonts w:ascii="宋体" w:hAnsi="宋体" w:eastAsia="宋体" w:cs="宋体"/>
          <w:color w:val="000000"/>
          <w:sz w:val="32"/>
          <w:szCs w:val="32"/>
        </w:rPr>
        <w:t>2022年本部门“三公”经费预算数为7万元，其中，公务接待费7万元，公务用车购置及运行费0万元（其中，公务用车购置费0万元，公务用车运行费0万元），因公出国（境）费0万元。2022年“三公”经费预算较2021年减少0.1万元，主要是厉行节约。</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（三）一般性支出情况：</w:t>
      </w:r>
      <w:r>
        <w:rPr>
          <w:rFonts w:ascii="宋体" w:hAnsi="宋体" w:eastAsia="宋体" w:cs="宋体"/>
          <w:color w:val="000000"/>
          <w:sz w:val="32"/>
          <w:szCs w:val="32"/>
        </w:rPr>
        <w:t>2022年本部门会议费预算0.5万元，用于进行企业入统调度会议；培训费预算0.5万元，企业入统培训；拟举办0场节庆、晚会、论坛、赛事等活动，经费预算0万元，</w:t>
      </w:r>
      <w:r>
        <w:rPr>
          <w:rFonts w:ascii="宋体" w:hAnsi="宋体" w:eastAsia="宋体" w:cs="宋体"/>
          <w:color w:val="auto"/>
          <w:sz w:val="32"/>
          <w:szCs w:val="32"/>
        </w:rPr>
        <w:t>无</w:t>
      </w:r>
      <w:r>
        <w:rPr>
          <w:rFonts w:hint="eastAsia" w:ascii="宋体" w:hAnsi="宋体" w:eastAsia="宋体" w:cs="宋体"/>
          <w:color w:val="auto"/>
          <w:sz w:val="32"/>
          <w:szCs w:val="32"/>
          <w:lang w:eastAsia="zh-CN"/>
        </w:rPr>
        <w:t>相关活动计划</w:t>
      </w:r>
      <w:r>
        <w:rPr>
          <w:rFonts w:ascii="宋体" w:hAnsi="宋体" w:eastAsia="宋体" w:cs="宋体"/>
          <w:color w:val="auto"/>
          <w:sz w:val="32"/>
          <w:szCs w:val="32"/>
        </w:rPr>
        <w:t>。</w:t>
      </w:r>
      <w:r>
        <w:rPr>
          <w:rFonts w:ascii="宋体" w:hAnsi="宋体" w:eastAsia="宋体" w:cs="宋体"/>
          <w:color w:val="C00000"/>
          <w:sz w:val="32"/>
          <w:szCs w:val="32"/>
        </w:rPr>
        <w:t xml:space="preserve"> </w:t>
      </w:r>
    </w:p>
    <w:p>
      <w:pPr>
        <w:spacing w:before="0" w:beforeAutospacing="0" w:after="2" w:afterAutospacing="0"/>
        <w:ind w:left="0" w:firstLine="660"/>
      </w:pPr>
      <w:r>
        <w:rPr>
          <w:rFonts w:ascii="宋体" w:hAnsi="宋体" w:eastAsia="宋体" w:cs="宋体"/>
          <w:b/>
          <w:bCs/>
          <w:color w:val="000000"/>
          <w:sz w:val="32"/>
          <w:szCs w:val="32"/>
        </w:rPr>
        <w:t>（四）政府采购情况：</w:t>
      </w:r>
      <w:r>
        <w:rPr>
          <w:rFonts w:ascii="宋体" w:hAnsi="宋体" w:eastAsia="宋体" w:cs="宋体"/>
          <w:color w:val="000000"/>
          <w:sz w:val="32"/>
          <w:szCs w:val="32"/>
        </w:rPr>
        <w:t>2022年本部门政府采购预算总额38.35万元，其中，货物类采购预算15.35万元；工程类采购预算0万元；服务类采购预算23万元。</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2021年12月底，本部门共有公务用车0辆，其中，机要通信用车0辆，应急保障用车0辆，执法执勤用车0辆，特种专业技术用车0辆，其他按照规定配备的公务用车0辆；单位价值50万元以上通用设备0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color w:val="000000"/>
        </w:rPr>
        <w:t xml:space="preserve"> </w:t>
      </w:r>
    </w:p>
    <w:p>
      <w:pPr>
        <w:tabs>
          <w:tab w:val="left" w:pos="2310"/>
        </w:tabs>
        <w:spacing w:before="0" w:beforeAutospacing="0" w:after="2" w:afterAutospacing="0"/>
        <w:ind w:left="0" w:firstLine="660"/>
      </w:pPr>
      <w:r>
        <w:rPr>
          <w:rFonts w:ascii="宋体" w:hAnsi="宋体" w:eastAsia="宋体" w:cs="宋体"/>
          <w:b/>
          <w:bCs/>
          <w:color w:val="000000"/>
          <w:sz w:val="32"/>
          <w:szCs w:val="32"/>
        </w:rPr>
        <w:t>（六）预算绩效目标说明：</w:t>
      </w:r>
      <w:r>
        <w:rPr>
          <w:rFonts w:ascii="宋体" w:hAnsi="宋体" w:eastAsia="宋体" w:cs="宋体"/>
          <w:color w:val="000000"/>
          <w:sz w:val="32"/>
          <w:szCs w:val="32"/>
        </w:rPr>
        <w:t>本部门所有支出实行绩效目标管理。纳入2022年部门整体支出绩效目标的金额为484.67万元，其中，基本支出445.32万元，项目支出39.35万元，具体绩效目标详见报表。</w:t>
      </w:r>
      <w:r>
        <w:rPr>
          <w:color w:val="000000"/>
        </w:rPr>
        <w:t xml:space="preserve"> </w:t>
      </w:r>
    </w:p>
    <w:p>
      <w:pPr>
        <w:spacing w:before="0" w:beforeAutospacing="0" w:after="2" w:afterAutospacing="0"/>
        <w:ind w:left="0" w:firstLine="660"/>
      </w:pPr>
      <w:r>
        <w:rPr>
          <w:rStyle w:val="4"/>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1、基本支出：是指单位为保障机构正常运转和完成日常工作任务而发生的各项支出，包括用于基本工资、津贴补贴等人员经费以及办公费、印刷费、水电费、办公设备购置等日常公用经费。</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2、机关运行经费：也就是基本支出中的一般商品和服务支出，主要用于保机关正常运转的办公用品、印刷、水电通信及维修维护等公用经费。</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3、项目支出：是指单位为完成特定工作任务或事业发展目标，在基本支出之外的支出，包括专项商品和服务支出、资本性支出等。</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4、“三公”经费：是指用一般公共预算拨款安排的公务接待费、因公出国(境)费和公务用车运行维护及购置费。其中，公务接待费反映单位按规定开支的各类公务接待支出；因公出国(境)费反映单位公务出国(境)的国际旅费、国外城市间交通费、食宿费等支出；公务用车运行维护及购置费反映单位公务用车车辆购置支出(含车辆购置税)，以及燃料费、维修费、保险费等支出。</w:t>
      </w:r>
    </w:p>
    <w:p>
      <w:pPr>
        <w:spacing w:before="0" w:beforeAutospacing="0" w:after="2" w:afterAutospacing="0"/>
        <w:ind w:left="0" w:firstLine="660"/>
      </w:pPr>
    </w:p>
    <w:p>
      <w:pPr>
        <w:spacing w:before="0" w:beforeAutospacing="0" w:after="2" w:afterAutospacing="0"/>
        <w:ind w:left="0" w:firstLine="6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zU5MzI0Nzk4ZGFhOWJkODU5OWJjNWFhMTIzYjYifQ=="/>
  </w:docVars>
  <w:rsids>
    <w:rsidRoot w:val="72B4419C"/>
    <w:rsid w:val="2A740F47"/>
    <w:rsid w:val="3D8D02BC"/>
    <w:rsid w:val="3E8C2CD9"/>
    <w:rsid w:val="519F4DCC"/>
    <w:rsid w:val="67AB2F3A"/>
    <w:rsid w:val="69BA0FD2"/>
    <w:rsid w:val="6ACB08B5"/>
    <w:rsid w:val="72B4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2863</Words>
  <Characters>3059</Characters>
  <Lines>0</Lines>
  <Paragraphs>0</Paragraphs>
  <TotalTime>1</TotalTime>
  <ScaleCrop>false</ScaleCrop>
  <LinksUpToDate>false</LinksUpToDate>
  <CharactersWithSpaces>3140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2022-09-01T03:01:00Z</dcterms:created>
  <dc:creator>Administrator</dc:creator>
  <cp:lastModifiedBy>Administrator</cp:lastModifiedBy>
  <dcterms:modified xsi:type="dcterms:W3CDTF">2023-09-22T12:05:32Z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69437F30ACE040B6B9A7C13B7479E410</vt:lpwstr>
  </property>
</Properties>
</file>