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663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sz w:val="40"/>
          <w:szCs w:val="40"/>
        </w:rPr>
      </w:pPr>
      <w:r>
        <w:rPr>
          <w:rFonts w:hint="eastAsia" w:ascii="仿宋" w:hAnsi="仿宋" w:eastAsia="仿宋" w:cs="仿宋"/>
          <w:i w:val="0"/>
          <w:iCs w:val="0"/>
          <w:caps w:val="0"/>
          <w:color w:val="535353"/>
          <w:spacing w:val="0"/>
          <w:sz w:val="44"/>
          <w:szCs w:val="44"/>
          <w:shd w:val="clear" w:fill="FFFFFF"/>
          <w:lang w:val="en-US" w:eastAsia="zh-CN"/>
        </w:rPr>
        <w:t xml:space="preserve">   </w:t>
      </w:r>
      <w:r>
        <w:rPr>
          <w:rFonts w:hint="eastAsia" w:ascii="仿宋" w:hAnsi="仿宋" w:eastAsia="仿宋" w:cs="仿宋"/>
          <w:b/>
          <w:sz w:val="40"/>
          <w:szCs w:val="40"/>
          <w:lang w:val="en-US" w:eastAsia="zh-CN"/>
        </w:rPr>
        <w:t xml:space="preserve">  2026年</w:t>
      </w:r>
      <w:r>
        <w:rPr>
          <w:rFonts w:hint="eastAsia" w:ascii="仿宋" w:hAnsi="仿宋" w:eastAsia="仿宋" w:cs="仿宋"/>
          <w:b/>
          <w:sz w:val="40"/>
          <w:szCs w:val="40"/>
        </w:rPr>
        <w:t>冷水滩区</w:t>
      </w:r>
      <w:r>
        <w:rPr>
          <w:rFonts w:hint="eastAsia" w:ascii="仿宋" w:hAnsi="仿宋" w:eastAsia="仿宋" w:cs="仿宋"/>
          <w:b/>
          <w:sz w:val="40"/>
          <w:szCs w:val="40"/>
          <w:lang w:val="en-US" w:eastAsia="zh-CN"/>
        </w:rPr>
        <w:t>特殊困难老年人意外伤害保险项目</w:t>
      </w:r>
      <w:r>
        <w:rPr>
          <w:rFonts w:hint="eastAsia" w:ascii="仿宋" w:hAnsi="仿宋" w:eastAsia="仿宋" w:cs="仿宋"/>
          <w:b/>
          <w:sz w:val="40"/>
          <w:szCs w:val="40"/>
        </w:rPr>
        <w:t>采购方案</w:t>
      </w:r>
    </w:p>
    <w:p w14:paraId="4F53E2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sz w:val="40"/>
          <w:szCs w:val="40"/>
        </w:rPr>
      </w:pPr>
    </w:p>
    <w:p w14:paraId="23ABC6E5">
      <w:pPr>
        <w:numPr>
          <w:ilvl w:val="0"/>
          <w:numId w:val="1"/>
        </w:numPr>
        <w:spacing w:line="600" w:lineRule="exact"/>
        <w:ind w:firstLine="551" w:firstLineChars="196"/>
        <w:rPr>
          <w:rFonts w:hint="eastAsia" w:ascii="仿宋" w:hAnsi="仿宋" w:eastAsia="仿宋" w:cs="仿宋"/>
          <w:b/>
          <w:bCs/>
          <w:sz w:val="28"/>
          <w:szCs w:val="28"/>
          <w:cs w:val="0"/>
          <w:lang w:val="en-US" w:eastAsia="zh-CN"/>
        </w:rPr>
      </w:pPr>
      <w:r>
        <w:rPr>
          <w:rFonts w:hint="eastAsia" w:ascii="仿宋" w:hAnsi="仿宋" w:eastAsia="仿宋" w:cs="仿宋"/>
          <w:b/>
          <w:bCs/>
          <w:sz w:val="28"/>
          <w:szCs w:val="28"/>
          <w:cs w:val="0"/>
          <w:lang w:val="en-US" w:eastAsia="zh-CN"/>
        </w:rPr>
        <w:t>项目基本情况</w:t>
      </w:r>
    </w:p>
    <w:p w14:paraId="55DE4476">
      <w:pPr>
        <w:numPr>
          <w:ilvl w:val="0"/>
          <w:numId w:val="0"/>
        </w:numPr>
        <w:spacing w:line="600" w:lineRule="exact"/>
        <w:ind w:firstLine="560" w:firstLineChars="200"/>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1、保障对象：全区6434位特殊困难老年人（含城乡低保对象、低边户、特困对象、重度残疾老年人、重点优抚对象）</w:t>
      </w:r>
    </w:p>
    <w:tbl>
      <w:tblPr>
        <w:tblStyle w:val="7"/>
        <w:tblpPr w:leftFromText="180" w:rightFromText="180" w:vertAnchor="text" w:horzAnchor="page" w:tblpX="1705" w:tblpY="624"/>
        <w:tblOverlap w:val="never"/>
        <w:tblW w:w="0" w:type="auto"/>
        <w:tblInd w:w="0" w:type="dxa"/>
        <w:tblLayout w:type="fixed"/>
        <w:tblCellMar>
          <w:top w:w="0" w:type="dxa"/>
          <w:left w:w="108" w:type="dxa"/>
          <w:bottom w:w="0" w:type="dxa"/>
          <w:right w:w="108" w:type="dxa"/>
        </w:tblCellMar>
      </w:tblPr>
      <w:tblGrid>
        <w:gridCol w:w="1843"/>
        <w:gridCol w:w="2977"/>
        <w:gridCol w:w="2258"/>
        <w:gridCol w:w="1711"/>
      </w:tblGrid>
      <w:tr w14:paraId="66B201D7">
        <w:tblPrEx>
          <w:tblCellMar>
            <w:top w:w="0" w:type="dxa"/>
            <w:left w:w="108" w:type="dxa"/>
            <w:bottom w:w="0" w:type="dxa"/>
            <w:right w:w="108" w:type="dxa"/>
          </w:tblCellMar>
        </w:tblPrEx>
        <w:trPr>
          <w:trHeight w:val="330" w:hRule="atLeast"/>
        </w:trPr>
        <w:tc>
          <w:tcPr>
            <w:tcW w:w="4820"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1CAF3FF6">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保障内容</w:t>
            </w:r>
          </w:p>
        </w:tc>
        <w:tc>
          <w:tcPr>
            <w:tcW w:w="2258" w:type="dxa"/>
            <w:tcBorders>
              <w:top w:val="single" w:color="auto" w:sz="4" w:space="0"/>
              <w:left w:val="nil"/>
              <w:bottom w:val="single" w:color="auto" w:sz="4" w:space="0"/>
              <w:right w:val="single" w:color="auto" w:sz="4" w:space="0"/>
            </w:tcBorders>
            <w:shd w:val="clear" w:color="000000" w:fill="FFFFFF"/>
            <w:noWrap w:val="0"/>
            <w:vAlign w:val="center"/>
          </w:tcPr>
          <w:p w14:paraId="533709E5">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保险金额</w:t>
            </w:r>
          </w:p>
        </w:tc>
        <w:tc>
          <w:tcPr>
            <w:tcW w:w="1711" w:type="dxa"/>
            <w:tcBorders>
              <w:top w:val="single" w:color="auto" w:sz="4" w:space="0"/>
              <w:left w:val="nil"/>
              <w:bottom w:val="single" w:color="auto" w:sz="4" w:space="0"/>
              <w:right w:val="single" w:color="auto" w:sz="4" w:space="0"/>
            </w:tcBorders>
            <w:shd w:val="clear" w:color="000000" w:fill="FFFFFF"/>
            <w:noWrap w:val="0"/>
            <w:vAlign w:val="center"/>
          </w:tcPr>
          <w:p w14:paraId="61A2D721">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保费</w:t>
            </w:r>
          </w:p>
        </w:tc>
      </w:tr>
      <w:tr w14:paraId="57B4079B">
        <w:tblPrEx>
          <w:tblCellMar>
            <w:top w:w="0" w:type="dxa"/>
            <w:left w:w="108" w:type="dxa"/>
            <w:bottom w:w="0" w:type="dxa"/>
            <w:right w:w="108" w:type="dxa"/>
          </w:tblCellMar>
        </w:tblPrEx>
        <w:trPr>
          <w:trHeight w:val="330" w:hRule="atLeast"/>
        </w:trPr>
        <w:tc>
          <w:tcPr>
            <w:tcW w:w="1843"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0B506B57">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三个指定</w:t>
            </w:r>
          </w:p>
        </w:tc>
        <w:tc>
          <w:tcPr>
            <w:tcW w:w="2977" w:type="dxa"/>
            <w:tcBorders>
              <w:top w:val="nil"/>
              <w:left w:val="nil"/>
              <w:bottom w:val="single" w:color="auto" w:sz="4" w:space="0"/>
              <w:right w:val="single" w:color="auto" w:sz="4" w:space="0"/>
            </w:tcBorders>
            <w:shd w:val="clear" w:color="000000" w:fill="FFFFFF"/>
            <w:noWrap w:val="0"/>
            <w:vAlign w:val="center"/>
          </w:tcPr>
          <w:p w14:paraId="6B316B63">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意外伤害身故金/伤残</w:t>
            </w:r>
          </w:p>
        </w:tc>
        <w:tc>
          <w:tcPr>
            <w:tcW w:w="2258" w:type="dxa"/>
            <w:tcBorders>
              <w:top w:val="nil"/>
              <w:left w:val="nil"/>
              <w:bottom w:val="single" w:color="auto" w:sz="4" w:space="0"/>
              <w:right w:val="single" w:color="auto" w:sz="4" w:space="0"/>
            </w:tcBorders>
            <w:shd w:val="clear" w:color="000000" w:fill="FFFFFF"/>
            <w:noWrap w:val="0"/>
            <w:vAlign w:val="center"/>
          </w:tcPr>
          <w:p w14:paraId="3CC8C286">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25000元/份</w:t>
            </w:r>
          </w:p>
        </w:tc>
        <w:tc>
          <w:tcPr>
            <w:tcW w:w="1711"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098EA05B">
            <w:pPr>
              <w:spacing w:line="600" w:lineRule="exact"/>
              <w:rPr>
                <w:rFonts w:hint="default" w:ascii="仿宋" w:hAnsi="仿宋" w:eastAsia="仿宋" w:cs="仿宋"/>
                <w:sz w:val="28"/>
                <w:szCs w:val="28"/>
                <w:cs w:val="0"/>
                <w:lang w:val="en-US" w:eastAsia="zh-CN"/>
              </w:rPr>
            </w:pPr>
            <w:r>
              <w:rPr>
                <w:rFonts w:hint="eastAsia" w:ascii="仿宋" w:hAnsi="仿宋" w:eastAsia="仿宋" w:cs="仿宋"/>
                <w:sz w:val="28"/>
                <w:szCs w:val="28"/>
                <w:cs w:val="0"/>
                <w:lang w:val="en-US" w:eastAsia="zh-CN"/>
              </w:rPr>
              <w:t>（财政出资70%；保险公司出资30%）</w:t>
            </w:r>
          </w:p>
        </w:tc>
      </w:tr>
      <w:tr w14:paraId="477D9735">
        <w:tblPrEx>
          <w:tblCellMar>
            <w:top w:w="0" w:type="dxa"/>
            <w:left w:w="108" w:type="dxa"/>
            <w:bottom w:w="0" w:type="dxa"/>
            <w:right w:w="108" w:type="dxa"/>
          </w:tblCellMar>
        </w:tblPrEx>
        <w:trPr>
          <w:trHeight w:val="330" w:hRule="atLeast"/>
        </w:trPr>
        <w:tc>
          <w:tcPr>
            <w:tcW w:w="1843"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571E669">
            <w:pPr>
              <w:spacing w:line="600" w:lineRule="exact"/>
              <w:ind w:firstLine="548" w:firstLineChars="196"/>
              <w:rPr>
                <w:rFonts w:hint="eastAsia" w:ascii="仿宋" w:hAnsi="仿宋" w:eastAsia="仿宋" w:cs="仿宋"/>
                <w:sz w:val="28"/>
                <w:szCs w:val="28"/>
                <w:cs w:val="0"/>
                <w:lang w:val="en-US" w:eastAsia="zh-CN"/>
              </w:rPr>
            </w:pPr>
          </w:p>
        </w:tc>
        <w:tc>
          <w:tcPr>
            <w:tcW w:w="2977" w:type="dxa"/>
            <w:tcBorders>
              <w:top w:val="nil"/>
              <w:left w:val="nil"/>
              <w:bottom w:val="single" w:color="auto" w:sz="4" w:space="0"/>
              <w:right w:val="single" w:color="auto" w:sz="4" w:space="0"/>
            </w:tcBorders>
            <w:shd w:val="clear" w:color="000000" w:fill="FFFFFF"/>
            <w:noWrap w:val="0"/>
            <w:vAlign w:val="center"/>
          </w:tcPr>
          <w:p w14:paraId="685FE986">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意外伤害住院医疗金</w:t>
            </w:r>
          </w:p>
        </w:tc>
        <w:tc>
          <w:tcPr>
            <w:tcW w:w="2258" w:type="dxa"/>
            <w:tcBorders>
              <w:top w:val="nil"/>
              <w:left w:val="nil"/>
              <w:bottom w:val="single" w:color="auto" w:sz="4" w:space="0"/>
              <w:right w:val="single" w:color="auto" w:sz="4" w:space="0"/>
            </w:tcBorders>
            <w:shd w:val="clear" w:color="000000" w:fill="FFFFFF"/>
            <w:noWrap w:val="0"/>
            <w:vAlign w:val="center"/>
          </w:tcPr>
          <w:p w14:paraId="2B1E9BBE">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2000元/份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6FFD913B">
            <w:pPr>
              <w:spacing w:line="600" w:lineRule="exact"/>
              <w:ind w:firstLine="548" w:firstLineChars="196"/>
              <w:rPr>
                <w:rFonts w:hint="eastAsia" w:ascii="仿宋" w:hAnsi="仿宋" w:eastAsia="仿宋" w:cs="仿宋"/>
                <w:sz w:val="28"/>
                <w:szCs w:val="28"/>
                <w:cs w:val="0"/>
                <w:lang w:val="en-US" w:eastAsia="zh-CN"/>
              </w:rPr>
            </w:pPr>
          </w:p>
        </w:tc>
      </w:tr>
      <w:tr w14:paraId="6C2A2B42">
        <w:tblPrEx>
          <w:tblCellMar>
            <w:top w:w="0" w:type="dxa"/>
            <w:left w:w="108" w:type="dxa"/>
            <w:bottom w:w="0" w:type="dxa"/>
            <w:right w:w="108" w:type="dxa"/>
          </w:tblCellMar>
        </w:tblPrEx>
        <w:trPr>
          <w:trHeight w:val="330" w:hRule="atLeast"/>
        </w:trPr>
        <w:tc>
          <w:tcPr>
            <w:tcW w:w="1843"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0BFC22BC">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一般意外</w:t>
            </w:r>
          </w:p>
        </w:tc>
        <w:tc>
          <w:tcPr>
            <w:tcW w:w="2977" w:type="dxa"/>
            <w:tcBorders>
              <w:top w:val="nil"/>
              <w:left w:val="nil"/>
              <w:bottom w:val="single" w:color="auto" w:sz="4" w:space="0"/>
              <w:right w:val="single" w:color="auto" w:sz="4" w:space="0"/>
            </w:tcBorders>
            <w:shd w:val="clear" w:color="000000" w:fill="FFFFFF"/>
            <w:noWrap w:val="0"/>
            <w:vAlign w:val="center"/>
          </w:tcPr>
          <w:p w14:paraId="11A60A59">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意外伤害身故金/伤残</w:t>
            </w:r>
          </w:p>
        </w:tc>
        <w:tc>
          <w:tcPr>
            <w:tcW w:w="2258" w:type="dxa"/>
            <w:tcBorders>
              <w:top w:val="nil"/>
              <w:left w:val="nil"/>
              <w:bottom w:val="single" w:color="auto" w:sz="4" w:space="0"/>
              <w:right w:val="single" w:color="auto" w:sz="4" w:space="0"/>
            </w:tcBorders>
            <w:shd w:val="clear" w:color="000000" w:fill="FFFFFF"/>
            <w:noWrap w:val="0"/>
            <w:vAlign w:val="center"/>
          </w:tcPr>
          <w:p w14:paraId="24358C6B">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5000元/份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5E345BE4">
            <w:pPr>
              <w:spacing w:line="600" w:lineRule="exact"/>
              <w:ind w:firstLine="548" w:firstLineChars="196"/>
              <w:rPr>
                <w:rFonts w:hint="eastAsia" w:ascii="仿宋" w:hAnsi="仿宋" w:eastAsia="仿宋" w:cs="仿宋"/>
                <w:sz w:val="28"/>
                <w:szCs w:val="28"/>
                <w:cs w:val="0"/>
                <w:lang w:val="en-US" w:eastAsia="zh-CN"/>
              </w:rPr>
            </w:pPr>
          </w:p>
        </w:tc>
      </w:tr>
      <w:tr w14:paraId="24BF0193">
        <w:tblPrEx>
          <w:tblCellMar>
            <w:top w:w="0" w:type="dxa"/>
            <w:left w:w="108" w:type="dxa"/>
            <w:bottom w:w="0" w:type="dxa"/>
            <w:right w:w="108" w:type="dxa"/>
          </w:tblCellMar>
        </w:tblPrEx>
        <w:trPr>
          <w:trHeight w:val="330" w:hRule="atLeast"/>
        </w:trPr>
        <w:tc>
          <w:tcPr>
            <w:tcW w:w="1843"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9F3026C">
            <w:pPr>
              <w:spacing w:line="600" w:lineRule="exact"/>
              <w:ind w:firstLine="548" w:firstLineChars="196"/>
              <w:rPr>
                <w:rFonts w:hint="eastAsia" w:ascii="仿宋" w:hAnsi="仿宋" w:eastAsia="仿宋" w:cs="仿宋"/>
                <w:sz w:val="28"/>
                <w:szCs w:val="28"/>
                <w:cs w:val="0"/>
                <w:lang w:val="en-US" w:eastAsia="zh-CN"/>
              </w:rPr>
            </w:pPr>
          </w:p>
        </w:tc>
        <w:tc>
          <w:tcPr>
            <w:tcW w:w="2977" w:type="dxa"/>
            <w:tcBorders>
              <w:top w:val="nil"/>
              <w:left w:val="nil"/>
              <w:bottom w:val="single" w:color="auto" w:sz="4" w:space="0"/>
              <w:right w:val="single" w:color="auto" w:sz="4" w:space="0"/>
            </w:tcBorders>
            <w:shd w:val="clear" w:color="000000" w:fill="FFFFFF"/>
            <w:noWrap w:val="0"/>
            <w:vAlign w:val="center"/>
          </w:tcPr>
          <w:p w14:paraId="4C0F562A">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意外伤害住院医疗金</w:t>
            </w:r>
          </w:p>
        </w:tc>
        <w:tc>
          <w:tcPr>
            <w:tcW w:w="2258" w:type="dxa"/>
            <w:tcBorders>
              <w:top w:val="nil"/>
              <w:left w:val="nil"/>
              <w:bottom w:val="single" w:color="auto" w:sz="4" w:space="0"/>
              <w:right w:val="single" w:color="auto" w:sz="4" w:space="0"/>
            </w:tcBorders>
            <w:shd w:val="clear" w:color="000000" w:fill="FFFFFF"/>
            <w:noWrap w:val="0"/>
            <w:vAlign w:val="center"/>
          </w:tcPr>
          <w:p w14:paraId="0327353C">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2000元/份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60A266F7">
            <w:pPr>
              <w:spacing w:line="600" w:lineRule="exact"/>
              <w:ind w:firstLine="548" w:firstLineChars="196"/>
              <w:rPr>
                <w:rFonts w:hint="eastAsia" w:ascii="仿宋" w:hAnsi="仿宋" w:eastAsia="仿宋" w:cs="仿宋"/>
                <w:sz w:val="28"/>
                <w:szCs w:val="28"/>
                <w:cs w:val="0"/>
                <w:lang w:val="en-US" w:eastAsia="zh-CN"/>
              </w:rPr>
            </w:pPr>
          </w:p>
        </w:tc>
      </w:tr>
      <w:tr w14:paraId="2B80E195">
        <w:tblPrEx>
          <w:tblCellMar>
            <w:top w:w="0" w:type="dxa"/>
            <w:left w:w="108" w:type="dxa"/>
            <w:bottom w:w="0" w:type="dxa"/>
            <w:right w:w="108" w:type="dxa"/>
          </w:tblCellMar>
        </w:tblPrEx>
        <w:trPr>
          <w:trHeight w:val="330" w:hRule="atLeast"/>
        </w:trPr>
        <w:tc>
          <w:tcPr>
            <w:tcW w:w="1843" w:type="dxa"/>
            <w:tcBorders>
              <w:top w:val="nil"/>
              <w:left w:val="single" w:color="auto" w:sz="4" w:space="0"/>
              <w:bottom w:val="single" w:color="auto" w:sz="4" w:space="0"/>
              <w:right w:val="single" w:color="auto" w:sz="4" w:space="0"/>
            </w:tcBorders>
            <w:shd w:val="clear" w:color="000000" w:fill="FFFFFF"/>
            <w:noWrap w:val="0"/>
            <w:vAlign w:val="center"/>
          </w:tcPr>
          <w:p w14:paraId="77C65AD5">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疾病身故</w:t>
            </w:r>
          </w:p>
        </w:tc>
        <w:tc>
          <w:tcPr>
            <w:tcW w:w="2977" w:type="dxa"/>
            <w:tcBorders>
              <w:top w:val="nil"/>
              <w:left w:val="nil"/>
              <w:bottom w:val="single" w:color="auto" w:sz="4" w:space="0"/>
              <w:right w:val="single" w:color="auto" w:sz="4" w:space="0"/>
            </w:tcBorders>
            <w:shd w:val="clear" w:color="000000" w:fill="FFFFFF"/>
            <w:noWrap w:val="0"/>
            <w:vAlign w:val="center"/>
          </w:tcPr>
          <w:p w14:paraId="4BD52BBA">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疾病身故慰问金</w:t>
            </w:r>
          </w:p>
        </w:tc>
        <w:tc>
          <w:tcPr>
            <w:tcW w:w="2258" w:type="dxa"/>
            <w:tcBorders>
              <w:top w:val="nil"/>
              <w:left w:val="nil"/>
              <w:bottom w:val="single" w:color="auto" w:sz="4" w:space="0"/>
              <w:right w:val="single" w:color="auto" w:sz="4" w:space="0"/>
            </w:tcBorders>
            <w:shd w:val="clear" w:color="000000" w:fill="FFFFFF"/>
            <w:noWrap w:val="0"/>
            <w:vAlign w:val="center"/>
          </w:tcPr>
          <w:p w14:paraId="4FB90B98">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500元/份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4AB941ED">
            <w:pPr>
              <w:spacing w:line="600" w:lineRule="exact"/>
              <w:ind w:firstLine="548" w:firstLineChars="196"/>
              <w:rPr>
                <w:rFonts w:hint="eastAsia" w:ascii="仿宋" w:hAnsi="仿宋" w:eastAsia="仿宋" w:cs="仿宋"/>
                <w:sz w:val="28"/>
                <w:szCs w:val="28"/>
                <w:cs w:val="0"/>
                <w:lang w:val="en-US" w:eastAsia="zh-CN"/>
              </w:rPr>
            </w:pPr>
          </w:p>
        </w:tc>
      </w:tr>
    </w:tbl>
    <w:p w14:paraId="63F32DE9">
      <w:pPr>
        <w:pStyle w:val="9"/>
        <w:numPr>
          <w:ilvl w:val="0"/>
          <w:numId w:val="0"/>
        </w:numPr>
        <w:ind w:firstLine="560" w:firstLineChars="200"/>
        <w:rPr>
          <w:rFonts w:hint="eastAsia" w:ascii="仿宋" w:hAnsi="仿宋" w:eastAsia="仿宋" w:cs="仿宋"/>
          <w:sz w:val="28"/>
          <w:szCs w:val="28"/>
          <w:cs w:val="0"/>
          <w:lang w:val="en-US" w:eastAsia="zh-CN"/>
        </w:rPr>
      </w:pPr>
      <w:r>
        <w:rPr>
          <w:rFonts w:hint="eastAsia" w:ascii="仿宋" w:hAnsi="仿宋" w:eastAsia="仿宋" w:cs="仿宋"/>
          <w:sz w:val="28"/>
          <w:szCs w:val="36"/>
          <w:cs w:val="0"/>
          <w:lang w:val="en-US" w:eastAsia="zh-CN"/>
        </w:rPr>
        <w:t>2、保障方案：</w:t>
      </w:r>
      <w:r>
        <w:rPr>
          <w:rFonts w:hint="eastAsia" w:ascii="仿宋" w:hAnsi="仿宋" w:eastAsia="仿宋" w:cs="仿宋"/>
          <w:sz w:val="28"/>
          <w:szCs w:val="28"/>
          <w:cs w:val="0"/>
          <w:lang w:val="en-US" w:eastAsia="zh-CN"/>
        </w:rPr>
        <w:fldChar w:fldCharType="begin"/>
      </w:r>
      <w:r>
        <w:rPr>
          <w:rFonts w:hint="eastAsia" w:ascii="仿宋" w:hAnsi="仿宋" w:eastAsia="仿宋" w:cs="仿宋"/>
          <w:sz w:val="28"/>
          <w:szCs w:val="28"/>
          <w:cs w:val="0"/>
          <w:lang w:val="en-US" w:eastAsia="zh-CN"/>
        </w:rPr>
        <w:instrText xml:space="preserve"> LINK Excel.Sheet.12 "D:\\Users\\gaobo006\\Desktop\\项目工作\\1_统保项目\\7_老年人意外险\\18年老年人意外险方案.xlsx" "Sheet1!R3C2:R8C5" \a \f 4 \h  \* MERGEFORMAT </w:instrText>
      </w:r>
      <w:r>
        <w:rPr>
          <w:rFonts w:hint="eastAsia" w:ascii="仿宋" w:hAnsi="仿宋" w:eastAsia="仿宋" w:cs="仿宋"/>
          <w:sz w:val="28"/>
          <w:szCs w:val="28"/>
          <w:cs w:val="0"/>
          <w:lang w:val="en-US" w:eastAsia="zh-CN"/>
        </w:rPr>
        <w:fldChar w:fldCharType="separate"/>
      </w:r>
    </w:p>
    <w:p w14:paraId="0D50D481">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fldChar w:fldCharType="end"/>
      </w:r>
      <w:r>
        <w:rPr>
          <w:rFonts w:hint="eastAsia" w:ascii="仿宋" w:hAnsi="仿宋" w:eastAsia="仿宋" w:cs="仿宋"/>
          <w:sz w:val="28"/>
          <w:szCs w:val="28"/>
          <w:cs w:val="0"/>
          <w:lang w:val="en-US" w:eastAsia="zh-CN"/>
        </w:rPr>
        <w:t>相关说明：</w:t>
      </w:r>
    </w:p>
    <w:p w14:paraId="619F1B70">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（1）、“意外伤害”：指外来的、突发的、非本意的、非疾病的使身体到伤害的客观事件。</w:t>
      </w:r>
    </w:p>
    <w:p w14:paraId="1BDB3D5B">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三个指定”：（1）老年人乘坐市域内公交车、出租车、地铁（城铁）期间；（2）老年人进入公共服务场所：为老年人提供优惠的各类公园、风景名胜等旅游景区；为老年人提供优惠的各类博物馆（院）、美术科技和纪念场馆、烈士纪念建筑物、名人故居、公共图书馆等公益性文化设施；为老年人提供优惠的公共体育场馆、各级文化馆（站、宫、活动中心、室）、各级社区服务中心和老年活动中心（站、室）、老年学校、养老（助残）餐桌以及托老（残）所；各级医疗机构。（3）老年人参加以下活动：参加政府机关、部门或社会组织举行的各种针对老年人的公益性活动及会议期间；老年志愿者参与的社会服务。</w:t>
      </w:r>
    </w:p>
    <w:p w14:paraId="75F980C7">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3）、“意外伤害住院医疗金”：是指被保险人发生意外伤害住院的治疗费用。对于符合当地社会基本医疗保险支付范围的意外伤害医疗费用予以理赔，社会基本医疗和商业保险医疗相加的赔付金额不得超过治疗费用总额。疾病医疗法费用不予理赔。</w:t>
      </w:r>
    </w:p>
    <w:p w14:paraId="111CFA29">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（4）、“疾病身故慰问金”：是指老年人因发生疾病身故的慰问金。</w:t>
      </w:r>
    </w:p>
    <w:p w14:paraId="54F5FECA">
      <w:pPr>
        <w:pStyle w:val="9"/>
        <w:numPr>
          <w:ilvl w:val="0"/>
          <w:numId w:val="0"/>
        </w:numPr>
        <w:ind w:firstLine="560" w:firstLineChars="200"/>
        <w:rPr>
          <w:rFonts w:hint="eastAsia" w:ascii="仿宋" w:hAnsi="仿宋" w:eastAsia="仿宋" w:cs="仿宋"/>
          <w:sz w:val="28"/>
          <w:szCs w:val="36"/>
          <w:cs w:val="0"/>
          <w:lang w:val="en-US" w:eastAsia="zh-CN"/>
        </w:rPr>
      </w:pPr>
      <w:r>
        <w:rPr>
          <w:rFonts w:hint="eastAsia" w:ascii="仿宋" w:hAnsi="仿宋" w:eastAsia="仿宋" w:cs="仿宋"/>
          <w:sz w:val="28"/>
          <w:szCs w:val="36"/>
          <w:cs w:val="0"/>
          <w:lang w:val="en-US" w:eastAsia="zh-CN"/>
        </w:rPr>
        <w:t>3、项目预算：180152元</w:t>
      </w:r>
    </w:p>
    <w:p w14:paraId="54FBF8AA">
      <w:pPr>
        <w:pStyle w:val="9"/>
        <w:numPr>
          <w:ilvl w:val="0"/>
          <w:numId w:val="0"/>
        </w:numPr>
        <w:ind w:firstLine="562" w:firstLineChars="200"/>
        <w:rPr>
          <w:rFonts w:hint="eastAsia" w:ascii="仿宋" w:hAnsi="仿宋" w:eastAsia="仿宋" w:cs="仿宋"/>
          <w:sz w:val="28"/>
          <w:szCs w:val="36"/>
          <w:cs w:val="0"/>
          <w:lang w:val="en-US" w:eastAsia="zh-CN"/>
        </w:rPr>
      </w:pPr>
      <w:r>
        <w:rPr>
          <w:rFonts w:hint="eastAsia" w:ascii="仿宋" w:hAnsi="仿宋" w:eastAsia="仿宋" w:cs="仿宋"/>
          <w:b/>
          <w:bCs/>
          <w:sz w:val="28"/>
          <w:szCs w:val="36"/>
          <w:cs w:val="0"/>
          <w:lang w:val="en-US" w:eastAsia="zh-CN"/>
        </w:rPr>
        <w:t>二、参与供应商资格要求</w:t>
      </w:r>
    </w:p>
    <w:p w14:paraId="3D65253B">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1.主体资格：在中华人民共和国境内依法注册登记的法人单位，具备有效的营业执照及银保监会颁发的《经营保险业务许可证》，业务范围包含意外伤害保险类产品。</w:t>
      </w:r>
    </w:p>
    <w:p w14:paraId="395E0ADA">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2.核心条件：</w:t>
      </w:r>
    </w:p>
    <w:p w14:paraId="2D281CD9">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（1）具有独立承担民事责任的能力；</w:t>
      </w:r>
    </w:p>
    <w:p w14:paraId="6319DF6E">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（2）具有良好的商业信誉和健全的财务会计制度；</w:t>
      </w:r>
    </w:p>
    <w:p w14:paraId="43DE401D">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（3）具有履行合同所必需的设备和专业技术能力；</w:t>
      </w:r>
    </w:p>
    <w:p w14:paraId="26186904">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（4）有依法缴纳税收和社会保障资金的良好记录；</w:t>
      </w:r>
    </w:p>
    <w:p w14:paraId="0844AA80">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（5）近3年内无重大违法违规记录及行业重大投诉处罚记录。</w:t>
      </w:r>
    </w:p>
    <w:p w14:paraId="1D61A95B">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3.其他要求：本项目不接受联合体投标，不允许转包、分包。</w:t>
      </w:r>
    </w:p>
    <w:p w14:paraId="68B8AD4A">
      <w:pPr>
        <w:pStyle w:val="9"/>
        <w:numPr>
          <w:ilvl w:val="0"/>
          <w:numId w:val="0"/>
        </w:numPr>
        <w:ind w:firstLine="562" w:firstLineChars="200"/>
        <w:rPr>
          <w:rFonts w:hint="eastAsia" w:ascii="仿宋" w:hAnsi="仿宋" w:eastAsia="仿宋" w:cs="仿宋"/>
          <w:sz w:val="28"/>
          <w:szCs w:val="36"/>
          <w:cs w:val="0"/>
          <w:lang w:val="en-US" w:eastAsia="zh-CN"/>
        </w:rPr>
      </w:pPr>
      <w:r>
        <w:rPr>
          <w:rFonts w:hint="eastAsia" w:ascii="仿宋" w:hAnsi="仿宋" w:eastAsia="仿宋" w:cs="仿宋"/>
          <w:b/>
          <w:bCs/>
          <w:sz w:val="28"/>
          <w:szCs w:val="36"/>
          <w:cs w:val="0"/>
          <w:lang w:val="en-US" w:eastAsia="zh-CN"/>
        </w:rPr>
        <w:t>三、供应商比选资料送达时间和地点</w:t>
      </w:r>
    </w:p>
    <w:p w14:paraId="6F2074CD">
      <w:pPr>
        <w:pStyle w:val="9"/>
        <w:numPr>
          <w:ilvl w:val="0"/>
          <w:numId w:val="0"/>
        </w:numPr>
        <w:ind w:firstLine="560" w:firstLineChars="200"/>
        <w:rPr>
          <w:rFonts w:hint="eastAsia" w:ascii="仿宋" w:hAnsi="仿宋" w:eastAsia="仿宋" w:cs="仿宋"/>
          <w:sz w:val="28"/>
          <w:szCs w:val="36"/>
          <w:cs w:val="0"/>
          <w:lang w:val="en-US" w:eastAsia="zh-CN"/>
        </w:rPr>
      </w:pPr>
      <w:r>
        <w:rPr>
          <w:rFonts w:hint="eastAsia" w:ascii="仿宋" w:hAnsi="仿宋" w:eastAsia="仿宋" w:cs="仿宋"/>
          <w:sz w:val="28"/>
          <w:szCs w:val="36"/>
          <w:cs w:val="0"/>
          <w:lang w:val="en-US" w:eastAsia="zh-CN"/>
        </w:rPr>
        <w:t>时间：2026年1月30日上午9时前，逾期不予受理</w:t>
      </w:r>
    </w:p>
    <w:p w14:paraId="26B99F43">
      <w:pPr>
        <w:pStyle w:val="9"/>
        <w:numPr>
          <w:ilvl w:val="0"/>
          <w:numId w:val="0"/>
        </w:numPr>
        <w:ind w:firstLine="560" w:firstLineChars="200"/>
        <w:rPr>
          <w:rFonts w:hint="eastAsia" w:ascii="仿宋" w:hAnsi="仿宋" w:eastAsia="仿宋" w:cs="仿宋"/>
          <w:sz w:val="28"/>
          <w:szCs w:val="36"/>
          <w:cs w:val="0"/>
          <w:lang w:val="en-US" w:eastAsia="zh-CN"/>
        </w:rPr>
      </w:pPr>
      <w:r>
        <w:rPr>
          <w:rFonts w:hint="eastAsia" w:ascii="仿宋" w:hAnsi="仿宋" w:eastAsia="仿宋" w:cs="仿宋"/>
          <w:sz w:val="28"/>
          <w:szCs w:val="36"/>
          <w:cs w:val="0"/>
          <w:lang w:val="en-US" w:eastAsia="zh-CN"/>
        </w:rPr>
        <w:t>地点：冷水滩区民政局养老股（冷水滩区紫霞东路266号）</w:t>
      </w:r>
    </w:p>
    <w:p w14:paraId="3F920EA4">
      <w:pPr>
        <w:pStyle w:val="9"/>
        <w:numPr>
          <w:ilvl w:val="0"/>
          <w:numId w:val="0"/>
        </w:numPr>
        <w:ind w:firstLine="562" w:firstLineChars="200"/>
        <w:rPr>
          <w:rFonts w:hint="eastAsia" w:ascii="仿宋" w:hAnsi="仿宋" w:eastAsia="仿宋" w:cs="仿宋"/>
          <w:sz w:val="28"/>
          <w:szCs w:val="28"/>
          <w:cs w:val="0"/>
          <w:lang w:val="en-US" w:eastAsia="zh-CN"/>
        </w:rPr>
      </w:pPr>
      <w:r>
        <w:rPr>
          <w:rFonts w:hint="eastAsia" w:ascii="仿宋" w:hAnsi="仿宋" w:eastAsia="仿宋" w:cs="仿宋"/>
          <w:b/>
          <w:bCs/>
          <w:sz w:val="28"/>
          <w:szCs w:val="36"/>
          <w:cs w:val="0"/>
          <w:lang w:val="en-US" w:eastAsia="zh-CN"/>
        </w:rPr>
        <w:t>四、</w:t>
      </w:r>
      <w:r>
        <w:rPr>
          <w:rFonts w:hint="eastAsia" w:ascii="仿宋" w:hAnsi="仿宋" w:eastAsia="仿宋" w:cs="仿宋"/>
          <w:b/>
          <w:bCs/>
          <w:sz w:val="28"/>
          <w:szCs w:val="28"/>
          <w:cs w:val="0"/>
          <w:lang w:val="en-US" w:eastAsia="zh-CN"/>
        </w:rPr>
        <w:t>评标方法</w:t>
      </w:r>
    </w:p>
    <w:p w14:paraId="5472C885">
      <w:pPr>
        <w:pStyle w:val="9"/>
        <w:numPr>
          <w:ilvl w:val="0"/>
          <w:numId w:val="0"/>
        </w:numPr>
        <w:ind w:firstLine="560" w:firstLineChars="200"/>
        <w:rPr>
          <w:rFonts w:hint="default" w:ascii="仿宋" w:hAnsi="仿宋" w:eastAsia="仿宋" w:cs="仿宋"/>
          <w:sz w:val="28"/>
          <w:szCs w:val="28"/>
          <w:cs w:val="0"/>
          <w:lang w:val="en-US" w:eastAsia="zh-CN"/>
        </w:rPr>
      </w:pPr>
      <w:r>
        <w:rPr>
          <w:rFonts w:hint="eastAsia" w:ascii="仿宋" w:hAnsi="仿宋" w:eastAsia="仿宋" w:cs="仿宋"/>
          <w:sz w:val="28"/>
          <w:szCs w:val="28"/>
          <w:cs w:val="0"/>
          <w:lang w:val="en-US" w:eastAsia="zh-CN"/>
        </w:rPr>
        <w:t>1、本项目采用综合评分法对供应商进行评审，总分为100分，具体评分因素及规则见附件，评审结果作为确定中选供应商的核心依据。</w:t>
      </w:r>
    </w:p>
    <w:p w14:paraId="3D9DF531">
      <w:pPr>
        <w:pStyle w:val="9"/>
        <w:numPr>
          <w:ilvl w:val="0"/>
          <w:numId w:val="0"/>
        </w:numPr>
        <w:ind w:firstLine="560" w:firstLineChars="200"/>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2、供应商根据要求提供公司营业执照、法人身份证复印件或法人授权委托书及比选详细需求资料，所有资料以书面形式密封装袋。</w:t>
      </w:r>
    </w:p>
    <w:p w14:paraId="7FC57705">
      <w:pPr>
        <w:pStyle w:val="9"/>
        <w:numPr>
          <w:ilvl w:val="0"/>
          <w:numId w:val="0"/>
        </w:numPr>
        <w:ind w:firstLine="560" w:firstLineChars="200"/>
        <w:rPr>
          <w:rFonts w:hint="default" w:ascii="仿宋" w:hAnsi="仿宋" w:eastAsia="仿宋" w:cs="仿宋"/>
          <w:sz w:val="28"/>
          <w:szCs w:val="28"/>
          <w:cs w:val="0"/>
          <w:lang w:val="en-US" w:eastAsia="zh-CN"/>
        </w:rPr>
      </w:pPr>
      <w:r>
        <w:rPr>
          <w:rFonts w:hint="eastAsia" w:ascii="仿宋" w:hAnsi="仿宋" w:eastAsia="仿宋" w:cs="仿宋"/>
          <w:sz w:val="28"/>
          <w:szCs w:val="28"/>
          <w:cs w:val="0"/>
          <w:lang w:val="en-US" w:eastAsia="zh-CN"/>
        </w:rPr>
        <w:t>3、由区民政局相关业务股室人员组成的采购小组，明确各成员职责，负责供应商资质审核及最终评审工作，确保采购过程公开、公平、公正。</w:t>
      </w:r>
    </w:p>
    <w:p w14:paraId="18AEAAF0">
      <w:pPr>
        <w:numPr>
          <w:ilvl w:val="0"/>
          <w:numId w:val="0"/>
        </w:numPr>
        <w:spacing w:line="60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 结果公示：评审结束后3个工作日内，在冷水滩区民政局官网公示中选结果，公示期不少于3个工作日，接受社会监督。</w:t>
      </w:r>
    </w:p>
    <w:p w14:paraId="2C4B469F">
      <w:pPr>
        <w:spacing w:line="600" w:lineRule="exact"/>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696F24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themeColor="text1"/>
          <w:sz w:val="28"/>
          <w:szCs w:val="28"/>
          <w14:textFill>
            <w14:solidFill>
              <w14:schemeClr w14:val="tx1"/>
            </w14:solidFill>
          </w14:textFill>
        </w:rPr>
      </w:pPr>
    </w:p>
    <w:p w14:paraId="7E342F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永州市冷水滩区民政</w:t>
      </w:r>
      <w:r>
        <w:rPr>
          <w:rFonts w:hint="eastAsia" w:ascii="仿宋" w:hAnsi="仿宋" w:eastAsia="仿宋" w:cs="仿宋"/>
          <w:sz w:val="28"/>
          <w:szCs w:val="28"/>
        </w:rPr>
        <w:t>局</w:t>
      </w:r>
    </w:p>
    <w:p w14:paraId="71045C1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p>
    <w:p w14:paraId="6E663DB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66EC1CF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CC696E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C48427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5CAB2DD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7303596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1F458F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ADC109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648E8D8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0B0D8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附件：比选评分因素</w:t>
      </w:r>
    </w:p>
    <w:p w14:paraId="77CB61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tbl>
      <w:tblPr>
        <w:tblStyle w:val="7"/>
        <w:tblW w:w="90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456"/>
        <w:gridCol w:w="6693"/>
        <w:gridCol w:w="1221"/>
      </w:tblGrid>
      <w:tr w14:paraId="0CAE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评分因素</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C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评分规则描述和证明材料要求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96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38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7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E9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得分=(评标基准价/投标报价)×报价分，投标报价超出预算的视为无效投标；供应商报价低于其他通过符合性审查供应商平均报价80%的，评审小组应当认定其报价明显偏低且可能影响产品质量或者不能诚信履约，要求其在磋商现场合理时间内提供书面说明并必要时提交相关证明材料，供应商不能证明其报价合理性的，评审小组将其作为无效响应处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13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B1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服务方案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供应商提供的承保、理赔服务方案评分。包括组织机构、人员配置、承保及理赔服务流程、服务响应时限等方面内容的完整性、科学性、合理性、可行性进行综合比较后评分。方案操作性强、完整性程度高、科学合理的计20分。方案有缺漏项的、欠操作性的、欠科学合理的每处扣1分，扣完为止，未提供的不计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F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4B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8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偿付能力</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9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供应商的所属总公司2024年综合偿付能力充足率计分，综合偿付能力充足率为220%以上的计20分，210%-220%（含）的计15分，200%-210%（含）的计10分，200%以下的计5分。证明材料要求：提供供应商所属总公司2024年度经审计的财务报告</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1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E7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A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风险评级</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9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8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中国银保监会对供应商总公司法人机构2024年四个季度风险综合评级（分类监管）评价结果进行打分，四个季度均属于A类的计15分；任意一个季度低于（不含）A类的计12分；任意两个季度低于（不含）A的计10分；任意三个季度低于（不含）A的计8分；四个季度均低于A类的计5分。证明材料要求：需提供供应商总公司披露的偿付能力报告关键页面，未提供不计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9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09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F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保险服务质量指数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A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中国银保信公布的2024年度保险服务质量指数进行评分，评价结果为90分以上得15分；评价结果为85-90（不含）得10分；评价结果为80-85（不含）得5分；评价结果为80分以下的得1分。证明材料要求：提供中国银保信官网查询截图。</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F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A7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D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运营网点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供应商在永州市11个县市区均设有县市区级分支机构的得10分，每少一个县市区级机构扣1分，扣完为止。证明材料要求：提供县市区级分支机构的《经营保险业务许可证》、《营业执照》复印件</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B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2F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支持地方经济建设</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供应商2024年度以来被政府评为</w:t>
            </w:r>
            <w:bookmarkStart w:id="0" w:name="_GoBack"/>
            <w:bookmarkEnd w:id="0"/>
            <w:r>
              <w:rPr>
                <w:rFonts w:hint="eastAsia" w:ascii="仿宋" w:hAnsi="仿宋" w:eastAsia="仿宋" w:cs="仿宋"/>
                <w:i w:val="0"/>
                <w:iCs w:val="0"/>
                <w:color w:val="000000"/>
                <w:kern w:val="0"/>
                <w:sz w:val="24"/>
                <w:szCs w:val="24"/>
                <w:u w:val="none"/>
                <w:lang w:val="en-US" w:eastAsia="zh-CN" w:bidi="ar"/>
              </w:rPr>
              <w:t>金融机构支持地方经济发展先进单位的，获评得5分，未获评不得分。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67154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88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B9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839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13A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840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A16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6CA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C8AC"/>
    <w:multiLevelType w:val="singleLevel"/>
    <w:tmpl w:val="BB88C8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2ViODM4ZDJjNDIyYTc4MWJhOTc3ZWRmN2ZhYzcifQ=="/>
  </w:docVars>
  <w:rsids>
    <w:rsidRoot w:val="60E05923"/>
    <w:rsid w:val="006C50B5"/>
    <w:rsid w:val="097B47D5"/>
    <w:rsid w:val="09ED4C4E"/>
    <w:rsid w:val="0B6F684C"/>
    <w:rsid w:val="0B9E36A6"/>
    <w:rsid w:val="0C714617"/>
    <w:rsid w:val="12646FA0"/>
    <w:rsid w:val="1F4C0B2F"/>
    <w:rsid w:val="1F6660DD"/>
    <w:rsid w:val="23C41425"/>
    <w:rsid w:val="264607EA"/>
    <w:rsid w:val="26CD5CBE"/>
    <w:rsid w:val="27F34FCD"/>
    <w:rsid w:val="28242B97"/>
    <w:rsid w:val="286834A8"/>
    <w:rsid w:val="2B8E6486"/>
    <w:rsid w:val="2D3F104B"/>
    <w:rsid w:val="2EF02DD0"/>
    <w:rsid w:val="311E684A"/>
    <w:rsid w:val="3161049A"/>
    <w:rsid w:val="33B32595"/>
    <w:rsid w:val="341F5E00"/>
    <w:rsid w:val="34F30AB6"/>
    <w:rsid w:val="3BCF2FC0"/>
    <w:rsid w:val="3DA45DDE"/>
    <w:rsid w:val="3DEB0098"/>
    <w:rsid w:val="3F7E83EB"/>
    <w:rsid w:val="41E94AC6"/>
    <w:rsid w:val="437B2104"/>
    <w:rsid w:val="44073F27"/>
    <w:rsid w:val="471C3E9C"/>
    <w:rsid w:val="4B980567"/>
    <w:rsid w:val="4E414DE2"/>
    <w:rsid w:val="51AC0B8B"/>
    <w:rsid w:val="528F7EE7"/>
    <w:rsid w:val="56B539C6"/>
    <w:rsid w:val="56CB003B"/>
    <w:rsid w:val="56D70F62"/>
    <w:rsid w:val="57FF75EE"/>
    <w:rsid w:val="582B6249"/>
    <w:rsid w:val="5D2E7ADE"/>
    <w:rsid w:val="5DE6BA36"/>
    <w:rsid w:val="5E99231E"/>
    <w:rsid w:val="5EDD58EF"/>
    <w:rsid w:val="60E05923"/>
    <w:rsid w:val="64966BE4"/>
    <w:rsid w:val="65137453"/>
    <w:rsid w:val="68DD16B1"/>
    <w:rsid w:val="6A41503F"/>
    <w:rsid w:val="6D464A9B"/>
    <w:rsid w:val="6D535020"/>
    <w:rsid w:val="6DA560EA"/>
    <w:rsid w:val="6FFF0B1C"/>
    <w:rsid w:val="742609DC"/>
    <w:rsid w:val="748671FD"/>
    <w:rsid w:val="752005AF"/>
    <w:rsid w:val="75CD4430"/>
    <w:rsid w:val="773B1991"/>
    <w:rsid w:val="77A34116"/>
    <w:rsid w:val="77BB29E5"/>
    <w:rsid w:val="78694A98"/>
    <w:rsid w:val="7A15503D"/>
    <w:rsid w:val="7BBD9963"/>
    <w:rsid w:val="7BD713CE"/>
    <w:rsid w:val="7DFB7CE4"/>
    <w:rsid w:val="7E8849E1"/>
    <w:rsid w:val="7FBE6AB8"/>
    <w:rsid w:val="7FE9630A"/>
    <w:rsid w:val="97D3BC78"/>
    <w:rsid w:val="C3DB8A35"/>
    <w:rsid w:val="DACF3D7B"/>
    <w:rsid w:val="E99B558F"/>
    <w:rsid w:val="EEDE027B"/>
    <w:rsid w:val="FE3E0F54"/>
    <w:rsid w:val="FFD68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缩进1"/>
    <w:basedOn w:val="1"/>
    <w:qFormat/>
    <w:uiPriority w:val="0"/>
    <w:pPr>
      <w:widowControl/>
      <w:ind w:firstLine="420"/>
      <w:jc w:val="left"/>
    </w:pPr>
    <w:rPr>
      <w:rFonts w:ascii="Times New Roman" w:hAnsi="Times New Roman" w:eastAsia="宋体" w:cs="Times New Roman"/>
      <w:kern w:val="0"/>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huawei\D:\home\huawei\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2087</Words>
  <Characters>2200</Characters>
  <Lines>0</Lines>
  <Paragraphs>0</Paragraphs>
  <TotalTime>49</TotalTime>
  <ScaleCrop>false</ScaleCrop>
  <LinksUpToDate>false</LinksUpToDate>
  <CharactersWithSpaces>2211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2018-12-11T02:52:00Z</dcterms:created>
  <dc:creator>pc</dc:creator>
  <cp:lastModifiedBy>田北海</cp:lastModifiedBy>
  <cp:lastPrinted>2025-12-23T18:24:00Z</cp:lastPrinted>
  <dcterms:modified xsi:type="dcterms:W3CDTF">2026-02-09T03:46:02Z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1CB4D2A0A88E49738AB6CE93D6E4E645_13</vt:lpwstr>
  </property>
  <property fmtid="{D5CDD505-2E9C-101B-9397-08002B2CF9AE}" pid="4" name="KSOTemplateDocerSaveRecord">
    <vt:lpwstr>eyJoZGlkIjoiZTE5NDhmN2YzYTJiYzFmMzVmM2ZjMDJmMjQ0ZmJjYzQiLCJ1c2VySWQiOiIxNzg2ODM1Mjg0In0=</vt:lpwstr>
  </property>
</Properties>
</file>