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DF3A39"/>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lang w:eastAsia="zh-CN"/>
        </w:rPr>
        <w:t>冷水滩区</w:t>
      </w:r>
      <w:r>
        <w:rPr>
          <w:rFonts w:hint="eastAsia" w:ascii="方正小标宋_GBK" w:hAnsi="方正小标宋_GBK" w:eastAsia="方正小标宋_GBK" w:cs="方正小标宋_GBK"/>
          <w:color w:val="auto"/>
          <w:kern w:val="0"/>
          <w:sz w:val="44"/>
          <w:szCs w:val="44"/>
          <w:lang w:val="en-US" w:eastAsia="zh-CN"/>
        </w:rPr>
        <w:t>教育</w:t>
      </w:r>
      <w:r>
        <w:rPr>
          <w:rFonts w:hint="eastAsia" w:ascii="方正小标宋_GBK" w:hAnsi="方正小标宋_GBK" w:eastAsia="方正小标宋_GBK" w:cs="方正小标宋_GBK"/>
          <w:color w:val="auto"/>
          <w:kern w:val="0"/>
          <w:sz w:val="44"/>
          <w:szCs w:val="44"/>
        </w:rPr>
        <w:t>局行政执法主体、人员、依据、程序和救济渠道等事项清单</w:t>
      </w:r>
    </w:p>
    <w:p>
      <w:pPr>
        <w:widowControl/>
        <w:shd w:val="clear" w:color="auto" w:fill="FFFFFF"/>
        <w:spacing w:line="480" w:lineRule="auto"/>
        <w:jc w:val="left"/>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 w:firstLineChars="200"/>
        <w:jc w:val="left"/>
        <w:rPr>
          <w:rFonts w:hint="eastAsia" w:ascii="仿宋_GB2312" w:hAnsi="仿宋_GB2312" w:eastAsia="仿宋_GB2312" w:cs="仿宋_GB2312"/>
          <w:color w:val="535353"/>
          <w:kern w:val="0"/>
          <w:sz w:val="32"/>
          <w:szCs w:val="32"/>
        </w:rPr>
      </w:pPr>
    </w:p>
    <w:p>
      <w:pPr>
        <w:widowControl/>
        <w:shd w:val="clear" w:color="auto" w:fill="FFFFFF"/>
        <w:spacing w:line="480" w:lineRule="auto"/>
        <w:ind w:firstLine="640" w:firstLineChars="200"/>
        <w:jc w:val="left"/>
        <w:rPr>
          <w:rFonts w:hint="eastAsia" w:ascii="仿宋_GB2312" w:hAnsi="仿宋_GB2312" w:eastAsia="仿宋_GB2312" w:cs="仿宋_GB2312"/>
          <w:color w:val="535353"/>
          <w:kern w:val="0"/>
          <w:sz w:val="32"/>
          <w:szCs w:val="32"/>
        </w:rPr>
      </w:pPr>
      <w:r>
        <w:rPr>
          <w:rFonts w:hint="eastAsia" w:ascii="仿宋_GB2312" w:hAnsi="仿宋_GB2312" w:eastAsia="仿宋_GB2312" w:cs="仿宋_GB2312"/>
          <w:color w:val="535353"/>
          <w:kern w:val="0"/>
          <w:sz w:val="32"/>
          <w:szCs w:val="32"/>
        </w:rPr>
        <w:t>根据《中华人民共和国政府信息公开条例》（国务院令第492号）和湖南省人民政府办公厅关于印发《湖南省行政执法公示办法》《湖南省行政执法全过程记录办法》《湖南省重大行政执法决定法制审核办法》的通知（湘政办发〔2019〕53号）文件要求，现将</w:t>
      </w:r>
      <w:r>
        <w:rPr>
          <w:rFonts w:hint="eastAsia" w:ascii="仿宋_GB2312" w:hAnsi="仿宋_GB2312" w:eastAsia="仿宋_GB2312" w:cs="仿宋_GB2312"/>
          <w:color w:val="535353"/>
          <w:kern w:val="0"/>
          <w:sz w:val="32"/>
          <w:szCs w:val="32"/>
          <w:lang w:eastAsia="zh-CN"/>
        </w:rPr>
        <w:t>冷水滩区</w:t>
      </w:r>
      <w:r>
        <w:rPr>
          <w:rFonts w:hint="eastAsia" w:ascii="仿宋_GB2312" w:hAnsi="仿宋_GB2312" w:eastAsia="仿宋_GB2312" w:cs="仿宋_GB2312"/>
          <w:color w:val="535353"/>
          <w:kern w:val="0"/>
          <w:sz w:val="32"/>
          <w:szCs w:val="32"/>
          <w:lang w:val="en-US" w:eastAsia="zh-CN"/>
        </w:rPr>
        <w:t>教育</w:t>
      </w:r>
      <w:r>
        <w:rPr>
          <w:rFonts w:hint="eastAsia" w:ascii="仿宋_GB2312" w:hAnsi="仿宋_GB2312" w:eastAsia="仿宋_GB2312" w:cs="仿宋_GB2312"/>
          <w:color w:val="535353"/>
          <w:kern w:val="0"/>
          <w:sz w:val="32"/>
          <w:szCs w:val="32"/>
        </w:rPr>
        <w:t>局行政执法主体、人员、依据、程序和救济渠道等事项公告如下：</w:t>
      </w: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r>
        <w:rPr>
          <w:rFonts w:hint="eastAsia" w:ascii="黑体" w:hAnsi="黑体" w:eastAsia="黑体" w:cs="黑体"/>
          <w:color w:val="535353"/>
          <w:kern w:val="0"/>
          <w:sz w:val="32"/>
          <w:szCs w:val="32"/>
        </w:rPr>
        <w:t>一、执法主体</w:t>
      </w:r>
    </w:p>
    <w:p>
      <w:pPr>
        <w:widowControl/>
        <w:shd w:val="clear" w:color="auto" w:fill="FFFFFF"/>
        <w:spacing w:line="480" w:lineRule="auto"/>
        <w:ind w:firstLine="640" w:firstLineChars="200"/>
        <w:jc w:val="left"/>
        <w:rPr>
          <w:rFonts w:hint="eastAsia" w:ascii="仿宋" w:hAnsi="仿宋" w:eastAsia="仿宋" w:cs="仿宋"/>
          <w:color w:val="535353"/>
          <w:kern w:val="0"/>
          <w:sz w:val="32"/>
          <w:szCs w:val="32"/>
          <w:lang w:eastAsia="zh-CN"/>
        </w:rPr>
      </w:pPr>
      <w:r>
        <w:rPr>
          <w:rFonts w:hint="eastAsia" w:ascii="仿宋" w:hAnsi="仿宋" w:eastAsia="仿宋" w:cs="仿宋"/>
          <w:color w:val="535353"/>
          <w:kern w:val="0"/>
          <w:sz w:val="32"/>
          <w:szCs w:val="32"/>
        </w:rPr>
        <w:t>永州市</w:t>
      </w:r>
      <w:r>
        <w:rPr>
          <w:rFonts w:hint="eastAsia" w:ascii="仿宋" w:hAnsi="仿宋" w:eastAsia="仿宋" w:cs="仿宋"/>
          <w:color w:val="535353"/>
          <w:kern w:val="0"/>
          <w:sz w:val="32"/>
          <w:szCs w:val="32"/>
          <w:lang w:eastAsia="zh-CN"/>
        </w:rPr>
        <w:t>冷水滩区</w:t>
      </w:r>
      <w:r>
        <w:rPr>
          <w:rFonts w:hint="eastAsia" w:ascii="仿宋" w:hAnsi="仿宋" w:eastAsia="仿宋" w:cs="仿宋"/>
          <w:color w:val="535353"/>
          <w:kern w:val="0"/>
          <w:sz w:val="32"/>
          <w:szCs w:val="32"/>
          <w:lang w:val="en-US" w:eastAsia="zh-CN"/>
        </w:rPr>
        <w:t>教育</w:t>
      </w:r>
      <w:r>
        <w:rPr>
          <w:rFonts w:hint="eastAsia" w:ascii="仿宋" w:hAnsi="仿宋" w:eastAsia="仿宋" w:cs="仿宋"/>
          <w:color w:val="535353"/>
          <w:kern w:val="0"/>
          <w:sz w:val="32"/>
          <w:szCs w:val="32"/>
          <w:lang w:eastAsia="zh-CN"/>
        </w:rPr>
        <w:t>局</w:t>
      </w: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r>
        <w:rPr>
          <w:rFonts w:hint="eastAsia" w:ascii="黑体" w:hAnsi="黑体" w:eastAsia="黑体" w:cs="黑体"/>
          <w:color w:val="535353"/>
          <w:kern w:val="0"/>
          <w:sz w:val="32"/>
          <w:szCs w:val="32"/>
        </w:rPr>
        <w:t>二、执法人员</w:t>
      </w:r>
    </w:p>
    <w:tbl>
      <w:tblPr>
        <w:tblStyle w:val="4"/>
        <w:tblW w:w="8101" w:type="dxa"/>
        <w:tblInd w:w="3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06"/>
        <w:gridCol w:w="1174"/>
        <w:gridCol w:w="1938"/>
        <w:gridCol w:w="1424"/>
        <w:gridCol w:w="27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微软雅黑" w:hAnsi="微软雅黑" w:eastAsia="微软雅黑" w:cs="微软雅黑"/>
                <w:b w:val="0"/>
                <w:bCs w:val="0"/>
                <w:kern w:val="0"/>
                <w:sz w:val="30"/>
                <w:szCs w:val="30"/>
              </w:rPr>
            </w:pPr>
            <w:r>
              <w:rPr>
                <w:rFonts w:hint="eastAsia" w:ascii="微软雅黑" w:hAnsi="微软雅黑" w:eastAsia="微软雅黑" w:cs="微软雅黑"/>
                <w:b w:val="0"/>
                <w:bCs w:val="0"/>
                <w:kern w:val="0"/>
                <w:sz w:val="30"/>
                <w:szCs w:val="30"/>
              </w:rPr>
              <w:t>序号</w:t>
            </w:r>
          </w:p>
        </w:tc>
        <w:tc>
          <w:tcPr>
            <w:tcW w:w="1174"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微软雅黑" w:hAnsi="微软雅黑" w:eastAsia="微软雅黑" w:cs="微软雅黑"/>
                <w:b w:val="0"/>
                <w:bCs w:val="0"/>
                <w:kern w:val="0"/>
                <w:sz w:val="30"/>
                <w:szCs w:val="30"/>
              </w:rPr>
            </w:pPr>
            <w:r>
              <w:rPr>
                <w:rFonts w:hint="eastAsia" w:ascii="微软雅黑" w:hAnsi="微软雅黑" w:eastAsia="微软雅黑" w:cs="微软雅黑"/>
                <w:b w:val="0"/>
                <w:bCs w:val="0"/>
                <w:kern w:val="0"/>
                <w:sz w:val="30"/>
                <w:szCs w:val="30"/>
              </w:rPr>
              <w:t>姓名</w:t>
            </w:r>
          </w:p>
        </w:tc>
        <w:tc>
          <w:tcPr>
            <w:tcW w:w="1938"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微软雅黑" w:hAnsi="微软雅黑" w:eastAsia="微软雅黑" w:cs="微软雅黑"/>
                <w:b w:val="0"/>
                <w:bCs w:val="0"/>
                <w:kern w:val="0"/>
                <w:sz w:val="30"/>
                <w:szCs w:val="30"/>
              </w:rPr>
            </w:pPr>
            <w:r>
              <w:rPr>
                <w:rFonts w:hint="eastAsia" w:ascii="微软雅黑" w:hAnsi="微软雅黑" w:eastAsia="微软雅黑" w:cs="微软雅黑"/>
                <w:b w:val="0"/>
                <w:bCs w:val="0"/>
                <w:kern w:val="0"/>
                <w:sz w:val="30"/>
                <w:szCs w:val="30"/>
              </w:rPr>
              <w:t>执法证件编号</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微软雅黑" w:hAnsi="微软雅黑" w:eastAsia="微软雅黑" w:cs="微软雅黑"/>
                <w:b w:val="0"/>
                <w:bCs w:val="0"/>
                <w:kern w:val="0"/>
                <w:sz w:val="30"/>
                <w:szCs w:val="30"/>
              </w:rPr>
            </w:pPr>
            <w:r>
              <w:rPr>
                <w:rFonts w:hint="eastAsia" w:ascii="微软雅黑" w:hAnsi="微软雅黑" w:eastAsia="微软雅黑" w:cs="微软雅黑"/>
                <w:b w:val="0"/>
                <w:bCs w:val="0"/>
                <w:kern w:val="0"/>
                <w:sz w:val="30"/>
                <w:szCs w:val="30"/>
              </w:rPr>
              <w:t>执法类别</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微软雅黑" w:hAnsi="微软雅黑" w:eastAsia="微软雅黑" w:cs="微软雅黑"/>
                <w:b w:val="0"/>
                <w:bCs w:val="0"/>
                <w:kern w:val="0"/>
                <w:sz w:val="30"/>
                <w:szCs w:val="30"/>
              </w:rPr>
            </w:pPr>
            <w:r>
              <w:rPr>
                <w:rFonts w:hint="eastAsia" w:ascii="微软雅黑" w:hAnsi="微软雅黑" w:eastAsia="微软雅黑" w:cs="微软雅黑"/>
                <w:b w:val="0"/>
                <w:bCs w:val="0"/>
                <w:kern w:val="0"/>
                <w:sz w:val="30"/>
                <w:szCs w:val="30"/>
              </w:rPr>
              <w:t>执法范围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9"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周好平</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18120104001</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4"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李小辉</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18120104002</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刘  海</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18120104003</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李文军</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18120104004</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刘少霍</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18120104005</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9"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周  耀</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18120104006</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屈天柱</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18120104007</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w:t>
            </w:r>
            <w:r>
              <w:rPr>
                <w:rFonts w:hint="default" w:ascii="仿宋_GB2312" w:hAnsi="仿宋_GB2312" w:eastAsia="仿宋_GB2312" w:cs="仿宋_GB2312"/>
                <w:kern w:val="0"/>
                <w:sz w:val="24"/>
                <w:szCs w:val="24"/>
              </w:rPr>
              <w:t>o</w:t>
            </w:r>
            <w:r>
              <w:rPr>
                <w:rFonts w:hint="eastAsia" w:ascii="仿宋_GB2312" w:hAnsi="仿宋_GB2312" w:eastAsia="仿宋_GB2312" w:cs="仿宋_GB2312"/>
                <w:kern w:val="0"/>
                <w:sz w:val="24"/>
                <w:szCs w:val="24"/>
              </w:rPr>
              <w:t>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bl>
    <w:p>
      <w:pPr>
        <w:widowControl/>
        <w:spacing w:line="480" w:lineRule="auto"/>
        <w:jc w:val="center"/>
        <w:rPr>
          <w:rFonts w:hint="eastAsia" w:ascii="仿宋_GB2312" w:hAnsi="仿宋_GB2312" w:eastAsia="仿宋_GB2312" w:cs="仿宋_GB2312"/>
          <w:kern w:val="0"/>
          <w:sz w:val="24"/>
          <w:szCs w:val="24"/>
        </w:rPr>
        <w:sectPr>
          <w:pgSz w:w="11906" w:h="16838"/>
          <w:pgMar w:top="1440" w:right="1800" w:bottom="1440" w:left="1800" w:header="851" w:footer="992" w:gutter="0"/>
          <w:cols w:space="425" w:num="1"/>
          <w:docGrid w:type="lines" w:linePitch="312" w:charSpace="0"/>
        </w:sectPr>
      </w:pPr>
    </w:p>
    <w:tbl>
      <w:tblPr>
        <w:tblStyle w:val="4"/>
        <w:tblW w:w="8101" w:type="dxa"/>
        <w:tblInd w:w="3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06"/>
        <w:gridCol w:w="1174"/>
        <w:gridCol w:w="1938"/>
        <w:gridCol w:w="1424"/>
        <w:gridCol w:w="27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唐  博</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18120104008</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0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174"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熊运忠</w:t>
            </w:r>
          </w:p>
        </w:tc>
        <w:tc>
          <w:tcPr>
            <w:tcW w:w="1938"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18120104009</w:t>
            </w:r>
          </w:p>
        </w:tc>
        <w:tc>
          <w:tcPr>
            <w:tcW w:w="1424"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eastAsia="zh-CN"/>
              </w:rPr>
              <w:t>行政</w:t>
            </w:r>
          </w:p>
        </w:tc>
        <w:tc>
          <w:tcPr>
            <w:tcW w:w="2759" w:type="dxa"/>
            <w:tcBorders>
              <w:top w:val="outset" w:color="000000" w:sz="6" w:space="0"/>
              <w:left w:val="outset" w:color="000000" w:sz="6" w:space="0"/>
              <w:bottom w:val="outset" w:color="000000" w:sz="6" w:space="0"/>
              <w:right w:val="outset" w:color="000000" w:sz="6" w:space="0"/>
            </w:tcBorders>
            <w:vAlign w:val="center"/>
          </w:tcPr>
          <w:p>
            <w:pPr>
              <w:widowControl/>
              <w:spacing w:after="120"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永州市</w:t>
            </w:r>
            <w:r>
              <w:rPr>
                <w:rFonts w:hint="eastAsia" w:ascii="仿宋_GB2312" w:hAnsi="仿宋_GB2312" w:eastAsia="仿宋_GB2312" w:cs="仿宋_GB2312"/>
                <w:kern w:val="0"/>
                <w:sz w:val="24"/>
                <w:szCs w:val="24"/>
                <w:lang w:eastAsia="zh-CN"/>
              </w:rPr>
              <w:t>冷水滩</w:t>
            </w:r>
            <w:r>
              <w:rPr>
                <w:rFonts w:hint="eastAsia" w:ascii="仿宋_GB2312" w:hAnsi="仿宋_GB2312" w:eastAsia="仿宋_GB2312" w:cs="仿宋_GB2312"/>
                <w:kern w:val="0"/>
                <w:sz w:val="24"/>
                <w:szCs w:val="24"/>
              </w:rPr>
              <w:t>区</w:t>
            </w:r>
          </w:p>
        </w:tc>
      </w:tr>
    </w:tbl>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sectPr>
          <w:type w:val="continuous"/>
          <w:pgSz w:w="11906" w:h="16838"/>
          <w:pgMar w:top="1440" w:right="1800" w:bottom="1440" w:left="1800" w:header="851" w:footer="992" w:gutter="0"/>
          <w:cols w:space="425" w:num="1"/>
          <w:docGrid w:type="lines" w:linePitch="312" w:charSpace="0"/>
        </w:sectPr>
      </w:pPr>
    </w:p>
    <w:p>
      <w:pPr>
        <w:widowControl/>
        <w:numPr>
          <w:ilvl w:val="0"/>
          <w:numId w:val="1"/>
        </w:numPr>
        <w:shd w:val="clear" w:color="auto" w:fill="FFFFFF"/>
        <w:tabs>
          <w:tab w:val="left" w:pos="606"/>
        </w:tabs>
        <w:spacing w:line="480" w:lineRule="auto"/>
        <w:ind w:firstLine="640" w:firstLineChars="200"/>
        <w:jc w:val="left"/>
        <w:rPr>
          <w:rFonts w:hint="eastAsia" w:ascii="黑体" w:hAnsi="黑体" w:eastAsia="黑体" w:cs="黑体"/>
          <w:color w:val="535353"/>
          <w:kern w:val="0"/>
          <w:sz w:val="32"/>
          <w:szCs w:val="32"/>
          <w:lang w:val="en-US" w:eastAsia="zh-CN"/>
        </w:rPr>
      </w:pPr>
      <w:r>
        <w:rPr>
          <w:rFonts w:hint="eastAsia" w:ascii="黑体" w:hAnsi="黑体" w:eastAsia="黑体" w:cs="黑体"/>
          <w:color w:val="535353"/>
          <w:kern w:val="0"/>
          <w:sz w:val="32"/>
          <w:szCs w:val="32"/>
        </w:rPr>
        <w:t>执法权限</w:t>
      </w:r>
      <w:r>
        <w:rPr>
          <w:rFonts w:hint="eastAsia" w:ascii="黑体" w:hAnsi="黑体" w:eastAsia="黑体" w:cs="黑体"/>
          <w:color w:val="535353"/>
          <w:kern w:val="0"/>
          <w:sz w:val="32"/>
          <w:szCs w:val="32"/>
          <w:lang w:val="en-US" w:eastAsia="zh-CN"/>
        </w:rPr>
        <w:t xml:space="preserve"> （工作部门权力清单） </w:t>
      </w: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单位或者个人有体罚或变相体罚幼儿；使用有毒、有害物质制作教具、玩具；克扣、挪用幼儿园经费；侵占、破坏幼儿园园舍、设备；干扰幼儿园正常工作秩序；在幼儿园周围设置有危险、有污染或者影响幼儿园采光的建设和设施六种情形之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冷水滩区教育局民审股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eastAsia="zh-CN"/>
              </w:rPr>
            </w:pPr>
            <w:r>
              <w:rPr>
                <w:rFonts w:hint="eastAsia" w:ascii="仿宋_GB2312" w:hAnsi="仿宋_GB2312" w:eastAsia="仿宋_GB2312" w:cs="仿宋_GB2312"/>
                <w:i w:val="0"/>
                <w:iCs w:val="0"/>
                <w:caps w:val="0"/>
                <w:color w:val="545454"/>
                <w:spacing w:val="0"/>
                <w:sz w:val="18"/>
                <w:szCs w:val="18"/>
                <w:shd w:val="clear" w:fill="FFFFFF"/>
              </w:rPr>
              <w:t>《幼儿园管理条例》第二十八条：违反本条例，具有下列情形之一的单位或者个人，由教育行政部门对直接责任人员给予警告、罚款的行政处罚，或者由教育行政部门建议有关部门对责任人员给予行政处分：（一）；体罚或变相体罚幼儿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二）使用有毒、有害物质制作教具、玩具的；（三）克扣、挪用幼儿园经费的；（四）侵占、破坏幼儿园园舍、设备的；（五）干扰幼儿园正常工作秩序的；（六）在幼儿园周围设置有危险、有污染或者影响幼儿园采光的建设和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单位或者个人有体罚或变相体罚幼儿；使用有毒、有害物质制作教具、玩具；克扣、挪用幼儿园经费；侵占、破坏幼儿园园舍、设备；干扰幼儿园正常工作秩序；在幼儿园周围设置有危险、有污染或者影响幼儿园采光的建设和设施六种情形之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eastAsia="zh-CN"/>
              </w:rPr>
            </w:pPr>
            <w:r>
              <w:rPr>
                <w:rFonts w:hint="eastAsia" w:ascii="仿宋_GB2312" w:hAnsi="仿宋_GB2312" w:eastAsia="仿宋_GB2312" w:cs="仿宋_GB2312"/>
                <w:i w:val="0"/>
                <w:iCs w:val="0"/>
                <w:caps w:val="0"/>
                <w:color w:val="545454"/>
                <w:spacing w:val="0"/>
                <w:sz w:val="18"/>
                <w:szCs w:val="18"/>
                <w:shd w:val="clear" w:fill="FFFFFF"/>
              </w:rPr>
              <w:t>《幼儿园管理条例》第二十八条：违反本条例，具有下列情形之一的单位或者个人，由教育行政部门对直接责任人员给予警告、罚款的行政处罚，或者由教育行政部门建议有关部门对责任人员给予行政处分：（一）；体罚或变相体罚幼儿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二）使用有毒、有害物质制作教具、玩具的；（三）克扣、挪用幼儿园经费的；（四）侵占、破坏幼儿园园舍、设备的；（五）干扰幼儿园正常工作秩序的；（六）在幼儿园周围设置有危险、有污染或者影响幼儿园采光的建设和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r>
        <w:rPr>
          <w:rFonts w:hint="eastAsia" w:ascii="黑体" w:hAnsi="黑体" w:eastAsia="黑体" w:cs="黑体"/>
          <w:color w:val="535353"/>
          <w:kern w:val="0"/>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对幼儿园有未经登记注册，擅自招收幼儿；园舍、设施不符合国家卫生标准、安全标准，妨害幼儿身体健康或者威胁幼儿生命安全；教育内容和方法违背幼儿教育规律，损害幼儿身心健康的情形之一的处罚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冷水滩区教育局民审股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中华人民共和国国家教育委员会令第4号《幼儿园管理条例》：第五章、第二十七条违反本条例，具有下列情形之一的幼儿园，由教育行政部门视情节轻重，给予限期整顿、停止招生、停止办园的行政处罚：</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（一）未经登记注册，擅自招收幼儿的；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（二）园舍、设施不符合国家卫生标准、安全标准，妨害幼儿身体健康或者威胁幼儿生命安全的；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（三）教育内容和方法违背幼儿教育规律，损害幼儿身心健康的。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对幼儿园有未经登记注册，擅自招收幼儿；园舍、设施不符合国家卫生标准、安全标准，妨害幼儿身体健康或者威胁幼儿生命安全；教育内容和方法违背幼儿教育规律，损害幼儿身心健康的情形之一的处罚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中华人民共和国国家教育委员会令第4号《幼儿园管理条例》：第五章、第二十七条违反本条例，具有下列情形之一的幼儿园，由教育行政部门视情节轻重，给予限期整顿、停止招生、停止办园的行政处罚：</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（一）未经登记注册，擅自招收幼儿的；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（二）园舍、设施不符合国家卫生标准、安全标准，妨害幼儿身体健康或者威胁幼儿生命安全的；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（三）教育内容和方法违背幼儿教育规律，损害幼儿身心健康的。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r>
        <w:rPr>
          <w:rFonts w:hint="eastAsia" w:ascii="黑体" w:hAnsi="黑体" w:eastAsia="黑体" w:cs="黑体"/>
          <w:color w:val="535353"/>
          <w:kern w:val="0"/>
          <w:sz w:val="32"/>
          <w:szCs w:val="32"/>
          <w:lang w:val="en-US" w:eastAsia="zh-CN"/>
        </w:rPr>
        <w:t xml:space="preserve"> </w:t>
      </w: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民办学校擅自分立、合并民办学校的；擅自改变民办学校名称、层次、类别和举办者的；发布虚假招生简章或者广告，骗取钱财的；非法颁发或者伪造学历证书、结业证书、培训证书、职业资格证书的；管理混乱严重影响教育教学，产生恶劣社会影响等第六十二条规定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冷水滩区教育局民审股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（一）擅自分立、合并民办学校的； （二）擅自改变民办学校名称、层次、类别和举办者的； （三）发布虚假招生简章或者广告，骗取钱财的；”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民办学校擅自分立、合并民办学校的；擅自改变民办学校名称、层次、类别和举办者的；发布虚假招生简章或者广告，骗取钱财的；非法颁发或者伪造学历证书、结业证书、培训证书、职业资格证书的；管理混乱严重影响教育教学，产生恶劣社会影响等第六十二条规定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（一）擅自分立、合并民办学校的； （二）擅自改变民办学校名称、层次、类别和举办者的； （三）发布虚假招生简章或者广告，骗取钱财的；”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违法颁发学业证书的处罚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《中华人民共和国教育法》（主席令第45号）第八十条 违反本法规定，颁发学位证书、学历证书或者其他学业证书的，由教育行政部门宣布证书无效，责令收回或者予以没收；有违法所得的，没收违法所得；情节严重的，取消其颁发证书的资格。 《教育行政处罚法暂行实施办法》（国家教育委员会令第27号）第五条教育行政处罚由违法行为发生地的教育行政部门管辖。 第十七条 学校或其他教育机构违反法律、行政法规的规定，颁发学位、学历或者其他学业证书的，由教育行政部门宣布该证书无效，责令收回或者予以没收；有违法所得的，没收违法所得；情节严重的，取消其颁发证书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违法颁发学位证书、学历证书或者其他学业证书的处罚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《中华人民共和国教育法》（主席令第45号）第八十条 违反本法规定，颁发学位证书、学历证书或者其他学业证书的，由教育行政部门宣布证书无效，责令收回或者予以没收；有违法所得的，没收违法所得；情节严重的，取消其颁发证书的资格。 《教育行政处罚法暂行实施办法》（国家教育委员会令第27号）第五条教育行政处罚由违法行为发生地的教育行政部门管辖。 第十七条 学校或其他教育机构违反法律、行政法规的规定，颁发学位、学历或者其他学业证书的，由教育行政部门宣布该证书无效，责令收回或者予以没收；有违法所得的，没收违法所得；情节严重的，取消其颁发证书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教育考试机构、学校（考点）在考试、招生中违规违纪的处罚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冷水滩区教育局考试中心、内监股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国家教育考试违规处理办法》(教育部令第33号)第十五条：“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教育考试机构、学校（考点）在考试、招生中违规违纪的处罚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国家教育考试违规处理办法》(教育部令第33号)第十五条：“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民办学校管理混乱严重影响教育教学的处罚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冷水滩区教育局民审股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民办学校管理混乱严重影响教育教学的处罚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对儿童入托、入学时，托幼机构、学校未依照规定查验预防接种证，或者发现未依照规定受种的儿童后未向疾病预防控制机构或者接种单位报告的处罚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责任处室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冷水滩区教育局体卫艺股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疫苗流通和预防接种管理条例》第六十九条：儿童入托、入学时，托幼机构、学校未依照规定查验预防接种证，或者发现未依照规定受种的儿童后未向疾病预防控制机构或者接种单位报告的，由县级以上地方人民政府教育主管部门责令改正，给予警告；拒不改正的，对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对儿童入托、入学时，托幼机构、学校未依照规定查验预防接种证，或者发现未依照规定受种的儿童后未向疾病预防控制机构或者接种单位报告的处罚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rPr>
              <w:t>《疫苗流通和预防接种管理条例》第六十九条：儿童入托、入学时，托幼机构、学校未依照规定查验预防接种证，或者发现未依照规定受种的儿童后未向疾病预防控制机构或者接种单位报告的，由县级以上地方人民政府教育主管部门责令改正，给予警告；拒不改正的，对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对违反国家有关规定，举办学校或者其他教育机构的处罚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一、《中华人民共和国教育法》第七十五条：违反国家有关规定，举办学校或者其他教育机构的，由教育行政部门予以撤销；有违法所得的，没收违法所得；对直接负责的主管人员和其他直接责任人员，依法给予行政处分。</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二、《中华人民共和国民办教育促进法》第六十四条: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三、《教育行政处罚暂行实施办法》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的严重，由审批的教育行政部门给予责令停止招生、吊销办学许可证的处罚。</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对违反国家有关规定，举办学校或者其他教育机构的处罚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一、《中华人民共和国教育法》第七十五条：违反国家有关规定，举办学校或者其他教育机构的，由教育行政部门予以撤销；有违法所得的，没收违法所得；对直接负责的主管人员和其他直接责任人员，依法给予行政处分。</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二、《中华人民共和国民办教育促进法》第六十四条: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rPr>
            </w:pPr>
            <w:r>
              <w:rPr>
                <w:rFonts w:hint="eastAsia" w:ascii="仿宋_GB2312" w:hAnsi="仿宋_GB2312" w:eastAsia="仿宋_GB2312" w:cs="仿宋_GB2312"/>
                <w:i w:val="0"/>
                <w:iCs w:val="0"/>
                <w:caps w:val="0"/>
                <w:color w:val="545454"/>
                <w:spacing w:val="0"/>
                <w:sz w:val="18"/>
                <w:szCs w:val="18"/>
                <w:shd w:val="clear" w:fill="FFFFFF"/>
              </w:rPr>
              <w:t>三、《教育行政处罚暂行实施办法》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的严重，由审批的教育行政部门给予责令停止招生、吊销办学许可证的处罚。</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对民办学校违法办学的处罚；对民办学校出资人违法取得回报的处罚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冷水滩区教育局民审股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《中华人民共和国民办教育促进法实施条例》（国务院令第399号） 第四十九条  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四十七条：办学校有下列情形之一的，出资人不得取得回报：（一）发布虚假招生简章或者招生广告，骗取钱财的；（二）擅自增加收取费用的项目、提高收取费用的标准，情节严重的；（三）非法颁发或者伪造学历证书、职业资格证书的；（四）骗取办学许可证或者伪造、变造、买卖、出租、出借办学许可证的；（五）未依照《中华人民共和国会计法》和国家统一的会计制度进行会计核算、编制财务会计报告，财务、资产管理混乱的；（六）违反国家税收征管法律、行政法规的规定，受到税务机关处罚的；（七）校舍或者其他教育教学设施、设备存在重大安全隐患，未及时采取措施，致使发生重大伤亡事故的；（八）教育教学质量低下，产生恶劣社会影响的。出资人抽逃资金或者挪用办学经费的，不得取得回报。</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对民办学校违法办学的处罚；对民办学校出资人违法取得回报的处罚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《中华人民共和国民办教育促进法实施条例》（国务院令第399号） 第四十九条  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四十七条：办学校有下列情形之一的，出资人不得取得回报：（一）发布虚假招生简章或者招生广告，骗取钱财的；（二）擅自增加收取费用的项目、提高收取费用的标准，情节严重的；（三）非法颁发或者伪造学历证书、职业资格证书的；（四）骗取办学许可证或者伪造、变造、买卖、出租、出借办学许可证的；（五）未依照《中华人民共和国会计法》和国家统一的会计制度进行会计核算、编制财务会计报告，财务、资产管理混乱的；（六）违反国家税收征管法律、行政法规的规定，受到税务机关处罚的；（七）校舍或者其他教育教学设施、设备存在重大安全隐患，未及时采取措施，致使发生重大伤亡事故的；（八）教育教学质量低下，产生恶劣社会影响的。出资人抽逃资金或者挪用办学经费的，不得取得回报。</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对弄虚作假、骗取教师资格或者品行不良、侮辱学生，造成恶劣影响的处罚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责任故室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教师资格条例》第十九条：“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对弄虚作假、骗取教师资格或者品行不良、侮辱学生，造成恶劣影响的处罚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教师资格条例》第十九条：“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对非法颁发或者伪造学历证书、结业证书、培训证书、职业资格证书的处罚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《中华人民共和国民办教育促进法》（颁布机关：全国人民代表大会常务委员会，施行日期：2003年9月1日）第六十二条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2.【地方性法规】《内蒙古自治区实施〈中华人民共和国民办教育促进法〉办法》（颁布机关：内蒙古自治区人民代表大会常务委员会，施行日期：2006年8月1日）第三十三条  民办学校有下列行为之一的，由审批机关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对非法颁发或者伪造学历证书、结业证书、培训证书、职业资格证书的处罚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《中华人民共和国民办教育促进法》（颁布机关：全国人民代表大会常务委员会，施行日期：2003年9月1日）第六十二条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2.【地方性法规】《内蒙古自治区实施〈中华人民共和国民办教育促进法〉办法》（颁布机关：内蒙古自治区人民代表大会常务委员会，施行日期：2006年8月1日）第三十三条  民办学校有下列行为之一的，由审批机关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考试工作人员</w:t>
            </w:r>
            <w:r>
              <w:rPr>
                <w:rFonts w:hint="eastAsia" w:ascii="仿宋_GB2312" w:hAnsi="仿宋_GB2312" w:eastAsia="仿宋_GB2312" w:cs="仿宋_GB2312"/>
                <w:i w:val="0"/>
                <w:iCs w:val="0"/>
                <w:caps w:val="0"/>
                <w:color w:val="545454"/>
                <w:spacing w:val="0"/>
                <w:sz w:val="18"/>
                <w:szCs w:val="18"/>
                <w:shd w:val="clear" w:fill="FFFFFF"/>
                <w:lang w:val="en-US" w:eastAsia="zh-CN"/>
              </w:rPr>
              <w:t>和考生</w:t>
            </w:r>
            <w:r>
              <w:rPr>
                <w:rFonts w:hint="default" w:ascii="仿宋_GB2312" w:hAnsi="仿宋_GB2312" w:eastAsia="仿宋_GB2312" w:cs="仿宋_GB2312"/>
                <w:i w:val="0"/>
                <w:iCs w:val="0"/>
                <w:caps w:val="0"/>
                <w:color w:val="545454"/>
                <w:spacing w:val="0"/>
                <w:sz w:val="18"/>
                <w:szCs w:val="18"/>
                <w:shd w:val="clear" w:fill="FFFFFF"/>
                <w:lang w:val="en-US" w:eastAsia="zh-CN"/>
              </w:rPr>
              <w:t>违规违纪的处罚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冷水滩区教育局考生中心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《国家教育考试违规处理办法》（教育部令第33号）第六条 考生违背考试公平、公正原则，在考试过程中有下列行为之一的，应当认定为考试作弊：（一）携带与考试内容相关的材料或者存储有与考试内容相关资料的电子设备参加考试的；（二）抄袭或者协助他人抄袭试题答案或者与考试内容相关的资料的；（三）胁迫他人为自己抄袭提供方便的；（四）携带具有发送或者接收信息功能的设备的；（五）由他人冒名代替参加考试的；（六）故意销毁试卷、答卷或者考试材料的；（七）在答卷上填写与本人身份不符的姓名、考号等信息的；（八）传、接物品或者交换试卷、答卷、草稿纸的；（九）其他以不正当手段获得或者试图获得试题答案、考试成绩的行为。</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　　第七条 教育考试机构、考试工作人员在考试过程中或者在考试结束后发现下列行为之一的，应当认定相关的考生实施了考试作弊行为：（一）通过伪造证件、证明、档案及其他材料获得考试资格、加分资格和考试成绩的；（二）评卷过程中被认定为答案雷同的；（三）考场纪律混乱、考试秩序失控，出现大面积考试作弊现象的；（四）考试工作人员协助实施作弊行为，事后查实的；（五）其他应认定为作弊的行为。</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　　第九条 考生有第六条、第七条所列考试作弊行为之一的，其所报名参加考试的各阶段、各科成绩无效。有下列情形之一的，可以视情节轻重，同时给予暂停参加该项考试 1至 3年的处理；情节特别严重的，可以同时给予暂停参加各种国家教育考试 1至 3年的处理：（一）组织团伙作弊的；（二）向考场外发送、传递试题信息的；（三）使用相关设备接收信息实施作弊的；（四）伪造、变造身份证、准考证及其他证明材料,由他人代替或者代替考生参加考试的。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考试工作人员违规违纪的处罚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《国家教育考试违规处理办法》（教育部令第33号）第六条 考生违背考试公平、公正原则，在考试过程中有下列行为之一的，应当认定为考试作弊：（一）携带与考试内容相关的材料或者存储有与考试内容相关资料的电子设备参加考试的；（二）抄袭或者协助他人抄袭试题答案或者与考试内容相关的资料的；（三）胁迫他人为自己抄袭提供方便的；（四）携带具有发送或者接收信息功能的设备的；（五）由他人冒名代替参加考试的；（六）故意销毁试卷、答卷或者考试材料的；（七）在答卷上填写与本人身份不符的姓名、考号等信息的；（八）传、接物品或者交换试卷、答卷、草稿纸的；（九）其他以不正当手段获得或者试图获得试题答案、考试成绩的行为。</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　　第七条 教育考试机构、考试工作人员在考试过程中或者在考试结束后发现下列行为之一的，应当认定相关的考生实施了考试作弊行为：（一）通过伪造证件、证明、档案及其他材料获得考试资格、加分资格和考试成绩的；（二）评卷过程中被认定为答案雷同的；（三）考场纪律混乱、考试秩序失控，出现大面积考试作弊现象的；（四）考试工作人员协助实施作弊行为，事后查实的；（五）其他应认定为作弊的行为。</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　　第九条 考生有第六条、第七条所列考试作弊行为之一的，其所报名参加考试的各阶段、各科成绩无效。有下列情形之一的，可以视情节轻重，同时给予暂停参加该项考试 1至 3年的处理；情节特别严重的，可以同时给予暂停参加各种国家教育考试 1至 3年的处理：（一）组织团伙作弊的；（二）向考场外发送、传递试题信息的；（三）使用相关设备接收信息实施作弊的；（四）伪造、变造身份证、准考证及其他证明材料,由他人代替或者代替考生参加考试的。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对擅自进行教材试验，或未经审定通过，擅自扩大教材试验范围的处罚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责任股室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1.《中华人民共和国义务教育法》(1986年4月12日由第六届全国人民代表大会第四次会议通过,1986年7月1日起施行。2018年12月29日第十三届全国人民代表大会常务委员会第七次会议通过第十三届全国人民代表大会常务委员会第七次会议修改。</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第三十九条“国家实行教科书审定制度。教科书的审定办法由国务院教育行政部门规定。未经审定的教科书,不得出版、选用”。</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第五十七条“学校有下列情形之一的，由县级人民政府教育行政部门责令限期改正；情节严重的，对直接负责的主管人员和其他直接责任人员依法给予处分：（四）选用未经审定的教科书的”。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第五十九条“有下列情形之一的,依照有关法律、行政法规的规定予以处罚:(三)出版未经依法审定的教科书的”。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2.《中小学教材编写审定管理暂行办法》《教育部关于废止和修改部分规章的决定》已经2015年9月10日第33次部长办公会议审议通过，现予公布，自公布之日起施行。第二十五条：违反本办法，擅自进行教材试验，或未经审定通过,擅自扩大教材试验范围者，视情节轻重和所造成的影响，由同级教育行政部门给予通报批评、责令停止试验或禁止使用等处罚，并对直接责任人给予相应的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对擅自进行教材试验，或未经审定通过，擅自扩大教材试验范围的处罚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1.《中华人民共和国义务教育法》(1986年4月12日由第六届全国人民代表大会第四次会议通过,1986年7月1日起施行。2018年12月29日第十三届全国人民代表大会常务委员会第七次会议通过第十三届全国人民代表大会常务委员会第七次会议修改。</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第三十九条“国家实行教科书审定制度。教科书的审定办法由国务院教育行政部门规定。未经审定的教科书,不得出版、选用”。</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第五十七条“学校有下列情形之一的，由县级人民政府教育行政部门责令限期改正；情节严重的，对直接负责的主管人员和其他直接责任人员依法给予处分：（四）选用未经审定的教科书的”。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第五十九条“有下列情形之一的,依照有关法律、行政法规的规定予以处罚:(三)出版未经依法审定的教科书的”。</w:t>
            </w:r>
          </w:p>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2.《中小学教材编写审定管理暂行办法》《教育部关于废止和修改部分规章的决定》已经2015年9月10日第33次部长办公会议审议通过，现予公布，自公布之日起施行。第二十五条：违反本办法，擅自进行教材试验，或未经审定通过,擅自扩大教材试验范围者，视情节轻重和所造成的影响，由同级教育行政部门给予通报批评、责令停止试验或禁止使用等处罚，并对直接责任人给予相应的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机构名称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职权名称</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对学校以向学生推销或者变相推销商品、服务等方式谋取利益的处罚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责任处室</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冷水滩区教育局基础教育股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职权类别</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职权依据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《中华人民共和国义务教育法》 第五十六条第二款 学校以向学生推销或者变相推销商品、服务等方式谋取利益的，由县级人民政府教育行政部门给予通报批评；有违法所得的，没收违法所得；对直接负责的主管人员和其他直接责任人员依法给予处分。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default" w:ascii="仿宋_GB2312" w:hAnsi="仿宋_GB2312" w:eastAsia="仿宋_GB2312" w:cs="仿宋_GB2312"/>
                <w:i w:val="0"/>
                <w:iCs w:val="0"/>
                <w:caps w:val="0"/>
                <w:color w:val="545454"/>
                <w:spacing w:val="0"/>
                <w:sz w:val="18"/>
                <w:szCs w:val="18"/>
                <w:shd w:val="clear" w:fill="FFFFFF"/>
                <w:lang w:val="en-US" w:eastAsia="zh-CN"/>
              </w:rPr>
              <w:t>对学校以向学生推销或者变相推销商品、服务等方式谋取利益的处罚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责任事项依据</w:t>
            </w:r>
          </w:p>
        </w:tc>
        <w:tc>
          <w:tcPr>
            <w:tcW w:w="11909" w:type="dxa"/>
          </w:tcPr>
          <w:p>
            <w:pPr>
              <w:keepNext w:val="0"/>
              <w:keepLines w:val="0"/>
              <w:widowControl/>
              <w:suppressLineNumbers w:val="0"/>
              <w:jc w:val="both"/>
              <w:textAlignment w:val="center"/>
              <w:rPr>
                <w:rFonts w:hint="eastAsia"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《中华人民共和国义务教育法》 第五十六条第二款 学校以向学生推销或者变相推销商品、服务等方式谋取利益的，由县级人民政府教育行政部门给予通报批评；有违法所得的，没收违法所得；对直接负责的主管人员和其他直接责任人员依法给予处分。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widowControl/>
              <w:numPr>
                <w:ilvl w:val="0"/>
                <w:numId w:val="0"/>
              </w:numPr>
              <w:tabs>
                <w:tab w:val="left" w:pos="606"/>
              </w:tabs>
              <w:spacing w:line="480" w:lineRule="auto"/>
              <w:jc w:val="left"/>
              <w:rPr>
                <w:rFonts w:hint="default" w:ascii="黑体" w:hAnsi="黑体" w:eastAsia="黑体" w:cs="黑体"/>
                <w:b/>
                <w:bCs/>
                <w:color w:val="535353"/>
                <w:kern w:val="0"/>
                <w:sz w:val="28"/>
                <w:szCs w:val="28"/>
                <w:vertAlign w:val="baseline"/>
                <w:lang w:val="en-US" w:eastAsia="zh-CN"/>
              </w:rPr>
            </w:pPr>
            <w:r>
              <w:rPr>
                <w:rFonts w:hint="eastAsia" w:ascii="黑体" w:hAnsi="黑体" w:eastAsia="黑体" w:cs="黑体"/>
                <w:b/>
                <w:bCs/>
                <w:color w:val="535353"/>
                <w:kern w:val="0"/>
                <w:sz w:val="28"/>
                <w:szCs w:val="28"/>
                <w:vertAlign w:val="baseline"/>
                <w:lang w:val="en-US" w:eastAsia="zh-CN"/>
              </w:rPr>
              <w:t>追责对象范围</w:t>
            </w:r>
          </w:p>
        </w:tc>
        <w:tc>
          <w:tcPr>
            <w:tcW w:w="11909" w:type="dxa"/>
          </w:tcPr>
          <w:p>
            <w:pPr>
              <w:keepNext w:val="0"/>
              <w:keepLines w:val="0"/>
              <w:widowControl/>
              <w:suppressLineNumbers w:val="0"/>
              <w:jc w:val="both"/>
              <w:textAlignment w:val="center"/>
              <w:rPr>
                <w:rFonts w:hint="default" w:ascii="仿宋_GB2312" w:hAnsi="仿宋_GB2312" w:eastAsia="仿宋_GB2312" w:cs="仿宋_GB2312"/>
                <w:i w:val="0"/>
                <w:iCs w:val="0"/>
                <w:caps w:val="0"/>
                <w:color w:val="545454"/>
                <w:spacing w:val="0"/>
                <w:sz w:val="18"/>
                <w:szCs w:val="18"/>
                <w:shd w:val="clear" w:fill="FFFFFF"/>
                <w:lang w:val="en-US" w:eastAsia="zh-CN"/>
              </w:rPr>
            </w:pPr>
            <w:r>
              <w:rPr>
                <w:rFonts w:hint="eastAsia" w:ascii="仿宋_GB2312" w:hAnsi="仿宋_GB2312" w:eastAsia="仿宋_GB2312" w:cs="仿宋_GB2312"/>
                <w:i w:val="0"/>
                <w:iCs w:val="0"/>
                <w:caps w:val="0"/>
                <w:color w:val="545454"/>
                <w:spacing w:val="0"/>
                <w:sz w:val="18"/>
                <w:szCs w:val="18"/>
                <w:shd w:val="clear" w:fill="FFFFFF"/>
                <w:lang w:val="en-US" w:eastAsia="zh-CN"/>
              </w:rPr>
              <w:t>局法定代表人、分管领导、内设机构负责人、具体承担人</w:t>
            </w:r>
          </w:p>
        </w:tc>
      </w:tr>
    </w:tbl>
    <w:p>
      <w:pPr>
        <w:widowControl/>
        <w:numPr>
          <w:ilvl w:val="0"/>
          <w:numId w:val="0"/>
        </w:numPr>
        <w:shd w:val="clear" w:color="auto" w:fill="FFFFFF"/>
        <w:tabs>
          <w:tab w:val="left" w:pos="606"/>
        </w:tabs>
        <w:spacing w:line="480" w:lineRule="auto"/>
        <w:jc w:val="left"/>
        <w:rPr>
          <w:rFonts w:hint="eastAsia" w:ascii="黑体" w:hAnsi="黑体" w:eastAsia="黑体" w:cs="黑体"/>
          <w:color w:val="535353"/>
          <w:kern w:val="0"/>
          <w:sz w:val="32"/>
          <w:szCs w:val="32"/>
          <w:lang w:val="en-US" w:eastAsia="zh-CN"/>
        </w:rPr>
      </w:pPr>
    </w:p>
    <w:p>
      <w:pPr>
        <w:widowControl/>
        <w:numPr>
          <w:ilvl w:val="0"/>
          <w:numId w:val="0"/>
        </w:numPr>
        <w:shd w:val="clear" w:color="auto" w:fill="FFFFFF"/>
        <w:spacing w:line="480" w:lineRule="auto"/>
        <w:jc w:val="left"/>
        <w:rPr>
          <w:rFonts w:hint="eastAsia" w:ascii="仿宋" w:hAnsi="仿宋" w:eastAsia="仿宋" w:cs="仿宋"/>
          <w:color w:val="535353"/>
          <w:kern w:val="0"/>
          <w:sz w:val="32"/>
          <w:szCs w:val="32"/>
          <w:lang w:val="en-US" w:eastAsia="zh-CN"/>
        </w:rPr>
      </w:pP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sectPr>
          <w:pgSz w:w="16838" w:h="11906" w:orient="landscape"/>
          <w:pgMar w:top="1800" w:right="1440" w:bottom="1800" w:left="1440" w:header="851" w:footer="992" w:gutter="0"/>
          <w:cols w:space="425" w:num="1"/>
          <w:docGrid w:type="lines" w:linePitch="312" w:charSpace="0"/>
        </w:sectPr>
      </w:pP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r>
        <w:rPr>
          <w:rFonts w:hint="eastAsia" w:ascii="黑体" w:hAnsi="黑体" w:eastAsia="黑体" w:cs="黑体"/>
          <w:color w:val="535353"/>
          <w:kern w:val="0"/>
          <w:sz w:val="32"/>
          <w:szCs w:val="32"/>
        </w:rPr>
        <w:t>四、执法依据</w:t>
      </w:r>
    </w:p>
    <w:p>
      <w:pPr>
        <w:ind w:firstLine="640" w:firstLineChars="200"/>
        <w:rPr>
          <w:rFonts w:hint="eastAsia" w:ascii="仿宋" w:hAnsi="仿宋" w:eastAsia="仿宋" w:cs="仿宋"/>
          <w:color w:val="535353"/>
          <w:kern w:val="0"/>
          <w:sz w:val="32"/>
          <w:szCs w:val="32"/>
        </w:rPr>
      </w:pPr>
      <w:r>
        <w:rPr>
          <w:rFonts w:hint="eastAsia" w:ascii="仿宋" w:hAnsi="仿宋" w:eastAsia="仿宋" w:cs="仿宋"/>
          <w:color w:val="535353"/>
          <w:kern w:val="0"/>
          <w:sz w:val="32"/>
          <w:szCs w:val="32"/>
        </w:rPr>
        <w:t>《中华人民共和国教育法》；《幼儿园管理条例》；《中华人民共和国民办教育促进法》</w:t>
      </w:r>
      <w:r>
        <w:rPr>
          <w:rFonts w:hint="eastAsia" w:ascii="仿宋" w:hAnsi="仿宋" w:eastAsia="仿宋" w:cs="仿宋"/>
          <w:color w:val="535353"/>
          <w:kern w:val="0"/>
          <w:sz w:val="32"/>
          <w:szCs w:val="32"/>
          <w:lang w:eastAsia="zh-CN"/>
        </w:rPr>
        <w:t>、</w:t>
      </w:r>
      <w:r>
        <w:rPr>
          <w:rFonts w:hint="eastAsia" w:ascii="仿宋" w:hAnsi="仿宋" w:eastAsia="仿宋" w:cs="仿宋"/>
          <w:color w:val="535353"/>
          <w:kern w:val="0"/>
          <w:sz w:val="32"/>
          <w:szCs w:val="32"/>
        </w:rPr>
        <w:t>《国家教育考试违规处理办法》(教育部令第33号)</w:t>
      </w:r>
      <w:r>
        <w:rPr>
          <w:rFonts w:hint="eastAsia" w:ascii="仿宋" w:hAnsi="仿宋" w:eastAsia="仿宋" w:cs="仿宋"/>
          <w:color w:val="535353"/>
          <w:kern w:val="0"/>
          <w:sz w:val="32"/>
          <w:szCs w:val="32"/>
          <w:lang w:eastAsia="zh-CN"/>
        </w:rPr>
        <w:t>；</w:t>
      </w:r>
      <w:r>
        <w:rPr>
          <w:rFonts w:hint="eastAsia" w:ascii="仿宋" w:hAnsi="仿宋" w:eastAsia="仿宋" w:cs="仿宋"/>
          <w:color w:val="535353"/>
          <w:kern w:val="0"/>
          <w:sz w:val="32"/>
          <w:szCs w:val="32"/>
        </w:rPr>
        <w:t>《教育行政处罚暂行实施办法》</w:t>
      </w:r>
      <w:r>
        <w:rPr>
          <w:rFonts w:hint="eastAsia" w:ascii="仿宋" w:hAnsi="仿宋" w:eastAsia="仿宋" w:cs="仿宋"/>
          <w:color w:val="535353"/>
          <w:kern w:val="0"/>
          <w:sz w:val="32"/>
          <w:szCs w:val="32"/>
          <w:lang w:eastAsia="zh-CN"/>
        </w:rPr>
        <w:t>；</w:t>
      </w:r>
      <w:r>
        <w:rPr>
          <w:rFonts w:hint="eastAsia" w:ascii="仿宋" w:hAnsi="仿宋" w:eastAsia="仿宋" w:cs="仿宋"/>
          <w:color w:val="535353"/>
          <w:kern w:val="0"/>
          <w:sz w:val="32"/>
          <w:szCs w:val="32"/>
          <w:lang w:val="en-US" w:eastAsia="zh-CN"/>
        </w:rPr>
        <w:t>《中华人民共和国民办教育促进法实施条例》（国务院令第399号）；《教师资格条例》；《中华人民共和国民办教育促进法》；《中华人民共和国义务教育法》</w:t>
      </w:r>
      <w:r>
        <w:rPr>
          <w:rFonts w:hint="eastAsia" w:ascii="仿宋" w:hAnsi="仿宋" w:eastAsia="仿宋" w:cs="仿宋"/>
          <w:color w:val="535353"/>
          <w:kern w:val="0"/>
          <w:sz w:val="32"/>
          <w:szCs w:val="32"/>
        </w:rPr>
        <w:t>等。</w:t>
      </w: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r>
        <w:rPr>
          <w:rFonts w:hint="eastAsia" w:ascii="黑体" w:hAnsi="黑体" w:eastAsia="黑体" w:cs="黑体"/>
          <w:color w:val="535353"/>
          <w:kern w:val="0"/>
          <w:sz w:val="32"/>
          <w:szCs w:val="32"/>
        </w:rPr>
        <w:t>五、执法程序</w:t>
      </w:r>
    </w:p>
    <w:p>
      <w:pPr>
        <w:widowControl/>
        <w:shd w:val="clear" w:color="auto" w:fill="FFFFFF"/>
        <w:spacing w:line="480" w:lineRule="auto"/>
        <w:jc w:val="left"/>
        <w:rPr>
          <w:rFonts w:hint="eastAsia" w:ascii="黑体" w:hAnsi="黑体" w:eastAsia="黑体" w:cs="黑体"/>
          <w:color w:val="535353"/>
          <w:kern w:val="0"/>
          <w:sz w:val="32"/>
          <w:szCs w:val="32"/>
          <w:lang w:eastAsia="zh-CN"/>
        </w:rPr>
      </w:pPr>
      <w:r>
        <w:rPr>
          <w:rFonts w:hint="eastAsia" w:ascii="黑体" w:hAnsi="黑体" w:eastAsia="黑体" w:cs="黑体"/>
          <w:color w:val="535353"/>
          <w:kern w:val="0"/>
          <w:sz w:val="32"/>
          <w:szCs w:val="32"/>
          <w:lang w:eastAsia="zh-CN"/>
        </w:rPr>
        <w:drawing>
          <wp:inline distT="0" distB="0" distL="114300" distR="114300">
            <wp:extent cx="5273675" cy="6342380"/>
            <wp:effectExtent l="0" t="0" r="3175" b="1270"/>
            <wp:docPr id="1" name="图片 1" descr="dc961da800f24d9fb52cdb350d714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961da800f24d9fb52cdb350d7144c0"/>
                    <pic:cNvPicPr>
                      <a:picLocks noChangeAspect="1"/>
                    </pic:cNvPicPr>
                  </pic:nvPicPr>
                  <pic:blipFill>
                    <a:blip r:embed="rId4"/>
                    <a:stretch>
                      <a:fillRect/>
                    </a:stretch>
                  </pic:blipFill>
                  <pic:spPr>
                    <a:xfrm>
                      <a:off x="0" y="0"/>
                      <a:ext cx="5273675" cy="6342380"/>
                    </a:xfrm>
                    <a:prstGeom prst="rect">
                      <a:avLst/>
                    </a:prstGeom>
                  </pic:spPr>
                </pic:pic>
              </a:graphicData>
            </a:graphic>
          </wp:inline>
        </w:drawing>
      </w:r>
    </w:p>
    <w:p>
      <w:pPr>
        <w:widowControl/>
        <w:shd w:val="clear" w:color="auto" w:fill="FFFFFF"/>
        <w:spacing w:line="480" w:lineRule="auto"/>
        <w:ind w:firstLine="640" w:firstLineChars="200"/>
        <w:jc w:val="left"/>
        <w:rPr>
          <w:rFonts w:hint="eastAsia" w:ascii="黑体" w:hAnsi="黑体" w:eastAsia="黑体" w:cs="黑体"/>
          <w:color w:val="535353"/>
          <w:kern w:val="0"/>
          <w:sz w:val="32"/>
          <w:szCs w:val="32"/>
        </w:rPr>
      </w:pPr>
      <w:r>
        <w:rPr>
          <w:rFonts w:hint="eastAsia" w:ascii="黑体" w:hAnsi="黑体" w:eastAsia="黑体" w:cs="黑体"/>
          <w:color w:val="535353"/>
          <w:kern w:val="0"/>
          <w:sz w:val="32"/>
          <w:szCs w:val="32"/>
        </w:rPr>
        <w:t>六、救济渠道</w:t>
      </w:r>
    </w:p>
    <w:p>
      <w:pPr>
        <w:widowControl/>
        <w:shd w:val="clear" w:color="auto" w:fill="FFFFFF"/>
        <w:spacing w:line="480" w:lineRule="auto"/>
        <w:ind w:firstLine="640" w:firstLineChars="200"/>
        <w:jc w:val="left"/>
        <w:rPr>
          <w:rFonts w:hint="eastAsia" w:ascii="仿宋" w:hAnsi="仿宋" w:eastAsia="仿宋" w:cs="仿宋"/>
          <w:color w:val="535353"/>
          <w:kern w:val="0"/>
          <w:sz w:val="32"/>
          <w:szCs w:val="32"/>
        </w:rPr>
      </w:pPr>
      <w:r>
        <w:rPr>
          <w:rFonts w:hint="eastAsia" w:ascii="仿宋" w:hAnsi="仿宋" w:eastAsia="仿宋" w:cs="仿宋"/>
          <w:color w:val="535353"/>
          <w:kern w:val="0"/>
          <w:sz w:val="32"/>
          <w:szCs w:val="32"/>
        </w:rPr>
        <w:t>根据《行政复议法》和《行政诉讼法》</w:t>
      </w:r>
      <w:r>
        <w:rPr>
          <w:rFonts w:hint="eastAsia" w:ascii="仿宋" w:hAnsi="仿宋" w:eastAsia="仿宋" w:cs="仿宋"/>
          <w:color w:val="535353"/>
          <w:kern w:val="0"/>
          <w:sz w:val="32"/>
          <w:szCs w:val="32"/>
          <w:lang w:eastAsia="zh-CN"/>
        </w:rPr>
        <w:t>之规定</w:t>
      </w:r>
      <w:r>
        <w:rPr>
          <w:rFonts w:hint="eastAsia" w:ascii="仿宋" w:hAnsi="仿宋" w:eastAsia="仿宋" w:cs="仿宋"/>
          <w:color w:val="535353"/>
          <w:kern w:val="0"/>
          <w:sz w:val="32"/>
          <w:szCs w:val="32"/>
        </w:rPr>
        <w:t>，可在接到处罚决定书之日起六十日内，向</w:t>
      </w:r>
      <w:r>
        <w:rPr>
          <w:rFonts w:hint="eastAsia" w:ascii="仿宋" w:hAnsi="仿宋" w:eastAsia="仿宋" w:cs="仿宋"/>
          <w:color w:val="535353"/>
          <w:kern w:val="0"/>
          <w:sz w:val="32"/>
          <w:szCs w:val="32"/>
          <w:lang w:eastAsia="zh-CN"/>
        </w:rPr>
        <w:t>永州市冷水滩</w:t>
      </w:r>
      <w:r>
        <w:rPr>
          <w:rFonts w:hint="eastAsia" w:ascii="仿宋" w:hAnsi="仿宋" w:eastAsia="仿宋" w:cs="仿宋"/>
          <w:color w:val="535353"/>
          <w:kern w:val="0"/>
          <w:sz w:val="32"/>
          <w:szCs w:val="32"/>
        </w:rPr>
        <w:t>区人民政府申请行政复</w:t>
      </w:r>
      <w:r>
        <w:rPr>
          <w:rFonts w:hint="eastAsia" w:ascii="仿宋" w:hAnsi="仿宋" w:eastAsia="仿宋" w:cs="仿宋"/>
          <w:color w:val="535353"/>
          <w:kern w:val="0"/>
          <w:sz w:val="32"/>
          <w:szCs w:val="32"/>
          <w:lang w:eastAsia="zh-CN"/>
        </w:rPr>
        <w:t>议</w:t>
      </w:r>
      <w:r>
        <w:rPr>
          <w:rFonts w:hint="eastAsia" w:ascii="仿宋" w:hAnsi="仿宋" w:eastAsia="仿宋" w:cs="仿宋"/>
          <w:color w:val="535353"/>
          <w:kern w:val="0"/>
          <w:sz w:val="32"/>
          <w:szCs w:val="32"/>
        </w:rPr>
        <w:t>；也可在六个月内直接向人民法院提起行政诉讼。 </w:t>
      </w:r>
    </w:p>
    <w:p>
      <w:pPr>
        <w:widowControl/>
        <w:shd w:val="clear" w:color="auto" w:fill="FFFFFF"/>
        <w:spacing w:line="480" w:lineRule="auto"/>
        <w:ind w:firstLine="480"/>
        <w:jc w:val="left"/>
        <w:rPr>
          <w:rFonts w:hint="eastAsia" w:ascii="微软雅黑" w:hAnsi="微软雅黑" w:eastAsia="微软雅黑" w:cs="宋体"/>
          <w:color w:val="535353"/>
          <w:kern w:val="0"/>
          <w:sz w:val="23"/>
          <w:szCs w:val="23"/>
        </w:rPr>
      </w:pPr>
      <w:r>
        <w:rPr>
          <w:rFonts w:hint="eastAsia" w:ascii="微软雅黑" w:hAnsi="微软雅黑" w:eastAsia="微软雅黑" w:cs="宋体"/>
          <w:color w:val="535353"/>
          <w:kern w:val="0"/>
          <w:sz w:val="23"/>
          <w:szCs w:val="23"/>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84905"/>
    <w:multiLevelType w:val="singleLevel"/>
    <w:tmpl w:val="7B0849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jNmNjk4ODE4NTM4YTk2MWQ1MWVkZjFhNDA0YTIifQ=="/>
  </w:docVars>
  <w:rsids>
    <w:rsidRoot w:val="00FB2FDD"/>
    <w:rsid w:val="001035ED"/>
    <w:rsid w:val="00986F93"/>
    <w:rsid w:val="00FB2FDD"/>
    <w:rsid w:val="0AD57BB7"/>
    <w:rsid w:val="183F2B14"/>
    <w:rsid w:val="23751ADF"/>
    <w:rsid w:val="31824CF0"/>
    <w:rsid w:val="32A80E28"/>
    <w:rsid w:val="34303A11"/>
    <w:rsid w:val="352D34FC"/>
    <w:rsid w:val="40B9188C"/>
    <w:rsid w:val="46ED4967"/>
    <w:rsid w:val="497C242D"/>
    <w:rsid w:val="5A8802CE"/>
    <w:rsid w:val="5AF8422D"/>
    <w:rsid w:val="5EEFB98A"/>
    <w:rsid w:val="5F5C21D4"/>
    <w:rsid w:val="6247406C"/>
    <w:rsid w:val="65E676F8"/>
    <w:rsid w:val="6A3A2708"/>
    <w:rsid w:val="6E5E0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printico"/>
    <w:basedOn w:val="6"/>
    <w:uiPriority w:val="0"/>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11440</Words>
  <Characters>11613</Characters>
  <Lines>18</Lines>
  <Paragraphs>5</Paragraphs>
  <TotalTime>16</TotalTime>
  <ScaleCrop>false</ScaleCrop>
  <LinksUpToDate>false</LinksUpToDate>
  <CharactersWithSpaces>11682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2022-11-16T09:04:00Z</dcterms:created>
  <dc:creator>Administrator</dc:creator>
  <cp:lastModifiedBy>阿雾（上岸版）</cp:lastModifiedBy>
  <dcterms:modified xsi:type="dcterms:W3CDTF">2023-06-01T03:04:00Z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1409DF9386544A169954EFD3199ECF7D</vt:lpwstr>
  </property>
</Properties>
</file>