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B18E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永州市冷水滩区市场监督管理局</w:t>
      </w:r>
    </w:p>
    <w:p w14:paraId="56C007EB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 w14:paraId="46AF83A4">
      <w:pPr>
        <w:pStyle w:val="4"/>
        <w:ind w:firstLine="1280" w:firstLineChars="4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</w:p>
    <w:p w14:paraId="5E873256">
      <w:pPr>
        <w:numPr>
          <w:ilvl w:val="0"/>
          <w:numId w:val="0"/>
        </w:num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09C3520C">
      <w:pPr>
        <w:widowControl w:val="0"/>
        <w:shd w:val="clear" w:color="auto" w:fill="FFFFFF"/>
        <w:spacing w:line="570" w:lineRule="exact"/>
        <w:ind w:firstLine="64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0"/>
          <w:szCs w:val="30"/>
          <w:lang w:eastAsia="zh-CN"/>
        </w:rPr>
        <w:t>我单位贯彻执行国家有关市场监督管理的方针政策和“法律法规规定”，负责区域内市场综合监督管理、市场主体统一登记注册；负责权限内食品、药品、医疗器械、化妆品、特种设备、计量器皿的许可管理；根据权限开展市场综合执法工作；依法开展反垄断工作，依法监督管理市场交易、网络商品交易服务，查处假冒伪劣产品；负责产品质量、特种设备的安全管理，依法开展知识产权的宣传、保护工作；受理并处理消费者投诉等工作。单位编制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85人，2024年度实际在职人员85人，12个监管所，36个职能股室。</w:t>
      </w:r>
    </w:p>
    <w:p w14:paraId="1068C4BE">
      <w:pPr>
        <w:spacing w:line="57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2024年度，我局收入1682.73万元，支出1682.73万元。其中一般公共预算收入1682.73万元，基本支出1509.63万元，项目支出173.10万元。</w:t>
      </w:r>
    </w:p>
    <w:p w14:paraId="079E7529">
      <w:pPr>
        <w:pStyle w:val="5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EA94C3D">
      <w:pPr>
        <w:pStyle w:val="5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45978946">
      <w:pPr>
        <w:spacing w:line="57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我单位基本支出1509.63万元。其中人员经费支出1267.60万元，主要用于支付人员的工资、津补贴等；公用经费支出242.03万元。其中办公费支出0.9万元，印刷费1万元，水费电费差旅费支出1.49万元，会议费、培训费支出0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三公经费支出18.43万元，其中公务用车运行维护费支出18万元；因公出国出境支出0万元；公务接待支出0.43万元。其他支出220.21万元。</w:t>
      </w:r>
    </w:p>
    <w:p w14:paraId="25AF16CE">
      <w:pPr>
        <w:pStyle w:val="5"/>
        <w:numPr>
          <w:ilvl w:val="0"/>
          <w:numId w:val="1"/>
        </w:numPr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20C60370">
      <w:pPr>
        <w:pStyle w:val="5"/>
        <w:numPr>
          <w:ilvl w:val="0"/>
          <w:numId w:val="0"/>
        </w:numPr>
        <w:spacing w:line="570" w:lineRule="exact"/>
        <w:ind w:firstLine="640" w:firstLineChars="200"/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2024年度我单位项目支出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173.10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其中中央及省级专项经费支出113.76万元，主要用于业务工作；市本级专项资金执法办案经费支出59.34万元，主要用于执法办案支出。</w:t>
      </w:r>
    </w:p>
    <w:p w14:paraId="74C0ECCC">
      <w:pPr>
        <w:pStyle w:val="5"/>
        <w:numPr>
          <w:ilvl w:val="0"/>
          <w:numId w:val="2"/>
        </w:numPr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0E4C4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507EA2FF">
      <w:pPr>
        <w:pStyle w:val="5"/>
        <w:numPr>
          <w:ilvl w:val="0"/>
          <w:numId w:val="2"/>
        </w:numPr>
        <w:spacing w:line="570" w:lineRule="exact"/>
        <w:ind w:left="0" w:leftChars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1830CD5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6614A733">
      <w:pPr>
        <w:pStyle w:val="5"/>
        <w:numPr>
          <w:ilvl w:val="0"/>
          <w:numId w:val="2"/>
        </w:numPr>
        <w:spacing w:line="570" w:lineRule="exact"/>
        <w:ind w:left="0" w:leftChars="0"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05B4F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04EA63DD"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1628C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2024年度我局严格按照预算支出管理办法，保民生、保工资、保运转，在勒紧裤腰带的同时坚决履行部门的职能职责，将部门履职效能最大化，主要完成工作如下：</w:t>
      </w:r>
    </w:p>
    <w:p w14:paraId="446F4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一、坚持转变思想促活力</w:t>
      </w:r>
    </w:p>
    <w:p w14:paraId="635B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针对单位干事创业积极性欠缺等问题，在年初召开了中层以上干部务虚会，进行了全面把脉问诊，抓住了主要矛盾，明确了工作方向，找到了前进路径。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一是加强制度建设。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出台了《2024年目标任务考核激励奖惩实施办法》《权责清单》等制度，成立了目标任务考核领导小组，由我任组长，采取一月一通报，一季一汇总的形式进行考核。通过考核，激发干部干事创业精神，强化干部谋事干事观念，增强干部想干事干成事意识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二是强化统筹协调机制。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涉及多个领域的工作由分管领导牵头抓总，相关领导配合，牵头股室协调运作，业务股室贯彻落实，将以前谁统筹谁包揽的局面转变成人人有压力，个个有责任，齐抓共管、协同推进的工作格局。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三是推动思想引领。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针对单位融合不够、抬头观望等问题，年初召开了中层以上干部务虚会，进行了深入研究部署，明确了工作方向和工作目标，转变了干部职工的“看客”“做客”思想。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四是推行内部纠错机制。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根据考核内容每月进行了考核，并在局机关大厅显示屏进行了通报，相关股所室针对扣分项进行加强，补齐短板。建立了纠错督办机制，对存在的问题先进行内部纠错，及时督导督办，形成了内部外部良性互动。</w:t>
      </w:r>
    </w:p>
    <w:p w14:paraId="026E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二、坚持理论学习促提升</w:t>
      </w:r>
    </w:p>
    <w:p w14:paraId="5A8D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始终坚持“学习在先”机制，把强化学习教育，提升干部职工综合素养作为一项重要的必修课。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一是加强政治学习。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实行党组会第一议题必须是“学习习近平新时代中国特色社会主义思想和重要讲话、重要指示批示精神”，持续提升领导班子和干部职工的政治觉悟。组织全体干部职工学习党的二十大精神，结合工作实际开展了主题教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将学习成果落实到推动市场监管工作高质量发展上，持续提升学习成效。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二是加强业务学习。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针对合并后干部职工业务知识单一的问题，将“学懂、弄通、做实”作为学习的根本标准，采取学</w:t>
      </w:r>
      <w:r>
        <w:rPr>
          <w:rFonts w:hint="eastAsia" w:ascii="仿宋" w:hAnsi="仿宋" w:eastAsia="仿宋" w:cs="仿宋"/>
          <w:sz w:val="32"/>
          <w:szCs w:val="32"/>
        </w:rPr>
        <w:t>、考、用三步走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措施，通过骨干授课、新老教学、交流座谈、网络培训等形式组织学习市场监管</w:t>
      </w:r>
      <w:r>
        <w:rPr>
          <w:rFonts w:hint="eastAsia" w:ascii="仿宋" w:hAnsi="仿宋" w:eastAsia="仿宋" w:cs="仿宋"/>
          <w:sz w:val="32"/>
          <w:szCs w:val="32"/>
        </w:rPr>
        <w:t>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业务工作等相关知识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，实行月考试、季考评、半年竞赛来检验学习成效，结合日常检查实践巩固学习成果，使干部职工从工商、质监、食药的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“专科医生”转变为市场监管的“全能选手”。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三是加强意识形态学习。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坚持每半年开展意识形态专题研究会、每季度开展专题学习和意识形态领域分析研判、每月开展一次党组“理论学习中心组”集中学习，将意识形态工作压紧压实，提高干部职工的思想高度。</w:t>
      </w:r>
    </w:p>
    <w:p w14:paraId="66D3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三、坚持提前谋划促发展</w:t>
      </w:r>
    </w:p>
    <w:p w14:paraId="12B0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统筹推进了经营主体培育工程，持续深化“放管服”改革，不断降低市场主体准入门槛。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“一窗办”“一网办”“一次办”“证照分离”改革做到了全覆盖，全面落实了告知承诺制、简易注销等各项举措，扎实推行了“一照通”改革，减轻了市场主体负担。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将营业执照办理时间压缩到 1 个工作日以内一次办结。企业设立登记时间压缩至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0.5个工作日，“极大地提升”了办事便利化程度。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持续推进主体培育，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水滩区期末实有经营主体9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3741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户，企业占比达到24.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比去年底提升0.2个百分点；经营主体净增5693户，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完成“个转企”15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完成率106.90%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7831D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四、坚持核心竞争促创新</w:t>
      </w:r>
    </w:p>
    <w:p w14:paraId="35A18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始终将知识产权和质量提升作为区域创新能力的重要指标，结合“五好”园区建设工作，大力实施“创新驱动发展战略”，不断助推园区产业转型升级，增强核心的竞争力，全面推动了质量强区工作措施落到了实处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推荐湖南果秀食品有限公司入围了首届“湖南名品”，组织湖南捷力泰科技有限公司申报第八届湖南省省长质量奖。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在区政务大厅设立质量基础设施“一站式”服务窗口，发挥质量基础设施优势，为企业、产业、园区，特别是中小企业，提供全链条、全方位、全过程质量基础设施综合服务。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大力支持发明专利，指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导和服务企业新增发明专利授权量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件，同比增长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44.44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%，有效发明专利量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265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件，增长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15.27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%，截至目前，有效注册商标量达到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7110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件，排全市第一。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助力企业攻坚克难。帮助企业破解资金难题，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帮助指导4家企业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完成质押融资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3000万，解决企业攻破核心技术资金短缺难题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2A60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五、坚持信用公示促监管</w:t>
      </w:r>
    </w:p>
    <w:p w14:paraId="09F4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紧紧围绕信用监管的中心工作，结合入围省真抓实干激励工作的目标，扎实开展了2024年的信用监管工作。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深入推进“双随机、一公开”监管，制定了年度抽查计划，开展了专项督查，并进行公示，抽查任务完成率100%，抽查结果公示率为100%。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推进市场经营主体年报公示、创信、严重违法失信名单等工作，助力经营主体纾困解难。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将未按时年报、通过登记的住所无法取得联系等法定原因的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891家企业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列入经营异常名录，依法列入严重违法失信企业名单6家，为企业信用修复25条，个体户信用修复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941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条，行政处罚信用修复1条，严重违法失信信用修复1条。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狠抓事中事后监管，我局梅湾市场监管所通过了“五星”监管所验收，被评为全国第一批“五星”监管所，也是永州市唯一一家“五星”监管所。</w:t>
      </w:r>
    </w:p>
    <w:p w14:paraId="0154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六、坚持严柔结合促执法</w:t>
      </w:r>
    </w:p>
    <w:p w14:paraId="55AD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我局开展了食品、药品、广告等各类市场监管领域执法行动，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严厉打击了各类市场监管领域违法违规行为。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全力贯彻落实优化营商环境相关措施。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通过采取从轻、减轻、首违不罚等措施维护了市场秩序，优化了营商环境。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查处商标、专利案件类14件，假冒伪劣案件类75件，移送公安机关1件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2DA9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七、坚持规范秩序促公平</w:t>
      </w:r>
    </w:p>
    <w:p w14:paraId="51CC4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2024年，我局持续开展市场监督各类行动，维护市场秩序。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  <w:u w:val="none"/>
        </w:rPr>
        <w:t>“双随机、一公开”“互联网＋监管”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等方式开展食品、药品、特种设备、价格、计量等市场监管领域专项行动执法，立案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234起，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有效维护了市场秩序和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优化了营商环境。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二是信用监管修复。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将未按时年报、通过登记的住所无法取得联系等法定原因的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891家企业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列入经营异常名录，依法列入严重违法失信企业名单6家，为企业信用修复25条，个体户信用修复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941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条，行政处罚信用修复1条，严重违法失信信用修复1条。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三是实行柔性执法。</w:t>
      </w:r>
      <w:r>
        <w:rPr>
          <w:rFonts w:hint="eastAsia" w:ascii="仿宋" w:hAnsi="仿宋" w:eastAsia="仿宋" w:cs="仿宋"/>
          <w:sz w:val="32"/>
          <w:szCs w:val="32"/>
          <w:u w:val="none"/>
        </w:rPr>
        <w:t>严格落实“首违不罚”“轻微不罚”清单，以“告知承诺”替代“行政处罚”，体现宽严相济的法治精神，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  <w:u w:val="none"/>
        </w:rPr>
        <w:t>共办理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不予和免于处罚案件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u w:val="none"/>
        </w:rPr>
        <w:t>件。</w:t>
      </w:r>
    </w:p>
    <w:p w14:paraId="24B9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八、坚持排查隐患促安全</w:t>
      </w:r>
    </w:p>
    <w:p w14:paraId="53F950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自年初开始，我局以“时时放心不下”的责任感，全力守护人民安全。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开展年关守护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2024和节假日行动，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排查整改相关问题隐患340余条，重大活动保障28次。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开展“三品一特”、电动自行车和消费维权、广告监管、计量等市场监管领域专项整治行动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发现问题隐患984处，整改问题隐患973处，立案11起。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抽检食品和食用农产品1782批次，已出结果1782批次，不合格66批次，对不合格批次食品进行了立案处置，有效防控了食品安全风险。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开展工业产品质量监督抽查75批次，落实工业产品质量监测工作，为质量提升提供精准靶向指导。</w:t>
      </w:r>
    </w:p>
    <w:p w14:paraId="05F3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九、坚持依法行政促规范</w:t>
      </w:r>
    </w:p>
    <w:p w14:paraId="3186C3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认真贯彻落实党的二十大精神，以依法行政为核心、执法规范化为统领，全面夯实法治建设主体责任。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严格依法决策，对“三重一大”事项实行集体决策，严把法制审核关，重大行政决策、行政规范性文件、重大行政执法决定法制审核率100%。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综合运用行政约谈、行政指导、警示告诫等方法推行包容审慎监管，压缩自由裁量的空间，有效避免随意裁量行为，保证裁量的规范性、准确性、全面性。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运用法治思维和方式，有效化解社会矛盾纠纷，不断提升依法行政能力水平，进一步优化了营商环境，助推市场主体健康发展。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加强事中事后监管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，严厉打击了市场监管领域违法犯罪行为，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查处商标、专利案件类14件，假冒伪劣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案件类75件，移送公安机关1件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27F0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十、坚持清正廉洁、廉洁党风党风</w:t>
      </w:r>
    </w:p>
    <w:p w14:paraId="4983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始终坚持把落实全面从严治党主体责任作为首要政治任务，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狠抓干部日常管理。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注重细节管理。将干部日常管理纳入考核范围，将上班打卡、下乡外出登记、出差报备审批等融入干部管理的每个部分，让所有干部明纪律、知敬畏。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深入推进廉政文化宣传，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在局机关1-4楼张贴党风廉政宣传画册，营造“崇尚廉洁，风清气正”的工作氛围。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深入开展“两带头五整治”纠风防腐专项行动，带头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开展自查自纠、签订承诺书，组织干部职工进行专题学习、观看廉政教育片和以案促改教育片4次，筑牢党员干部拒腐防变的思想防线。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稳步推进市场监管系统行风建设三年攻坚行动，严格督查干部日常岗位出勤情况，请销假制度落实情况，重点对中心工作落实情况进行突击检查，进一步改观干部职工精神面貌，转变工作作风，提高工作效率，确保工作实效，增强干部职工的奋发意识、纪律意识和担当意识。</w:t>
      </w:r>
    </w:p>
    <w:p w14:paraId="65218BC3">
      <w:pPr>
        <w:pStyle w:val="5"/>
        <w:spacing w:line="57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79DD5F0A">
      <w:pPr>
        <w:spacing w:line="570" w:lineRule="exact"/>
        <w:ind w:firstLine="640" w:firstLineChars="200"/>
        <w:jc w:val="left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2024年度，在厉行勤俭节约过“苦日子”的大环境下，我局对于资金管理还不够完善，主要是源于职能职责多资金少，资金的分配和使用难度较大。</w:t>
      </w:r>
    </w:p>
    <w:p w14:paraId="6D08DD59">
      <w:pPr>
        <w:numPr>
          <w:ilvl w:val="0"/>
          <w:numId w:val="3"/>
        </w:num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B50448A">
      <w:pPr>
        <w:pStyle w:val="6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我局将继续在保工资、保民生、保运转的前提下继续完善财务制度，加强资金管理。</w:t>
      </w:r>
    </w:p>
    <w:p w14:paraId="7466CCF8">
      <w:pPr>
        <w:pStyle w:val="4"/>
        <w:jc w:val="center"/>
        <w:rPr>
          <w:sz w:val="72"/>
          <w:szCs w:val="72"/>
        </w:rPr>
      </w:pPr>
    </w:p>
    <w:p w14:paraId="70D86A80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265DF"/>
    <w:multiLevelType w:val="singleLevel"/>
    <w:tmpl w:val="B6A265D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B4345D"/>
    <w:multiLevelType w:val="singleLevel"/>
    <w:tmpl w:val="0BB434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DB7FCA"/>
    <w:multiLevelType w:val="singleLevel"/>
    <w:tmpl w:val="46DB7FC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67BA"/>
    <w:rsid w:val="39CE0B2E"/>
    <w:rsid w:val="46EC67BA"/>
    <w:rsid w:val="5C5B1138"/>
    <w:rsid w:val="698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4143</Words>
  <Characters>4345</Characters>
  <Lines>0</Lines>
  <Paragraphs>0</Paragraphs>
  <TotalTime>12</TotalTime>
  <ScaleCrop>false</ScaleCrop>
  <LinksUpToDate>false</LinksUpToDate>
  <CharactersWithSpaces>4351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2025-10-20T13:52:00Z</dcterms:created>
  <dc:creator>易可爱</dc:creator>
  <cp:lastModifiedBy>自由行走的胡萝北</cp:lastModifiedBy>
  <dcterms:modified xsi:type="dcterms:W3CDTF">2025-10-29T01:30:06Z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25BE6556392F46B9A4517344A753913B_11</vt:lpwstr>
  </property>
  <property fmtid="{D5CDD505-2E9C-101B-9397-08002B2CF9AE}" pid="4" name="KSOTemplateDocerSaveRecord">
    <vt:lpwstr>eyJoZGlkIjoiNjE3MmM4Njk5ZDI1NTAxYzczOWE2ZDE3NmVmNzAwMzAiLCJ1c2VySWQiOiI0MTgyMjcyMzAifQ==</vt:lpwstr>
  </property>
</Properties>
</file>