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CFEE">
      <w:pPr>
        <w:pStyle w:val="16"/>
        <w:jc w:val="center"/>
        <w:rPr>
          <w:rFonts w:ascii="Times New Roman" w:hAnsi="Times New Roman" w:cs="Times New Roman"/>
          <w:sz w:val="56"/>
          <w:szCs w:val="56"/>
        </w:rPr>
      </w:pPr>
      <w:bookmarkStart w:id="1" w:name="_GoBack"/>
      <w:bookmarkEnd w:id="1"/>
    </w:p>
    <w:p w14:paraId="3F372BB6">
      <w:pPr>
        <w:pStyle w:val="16"/>
        <w:jc w:val="center"/>
        <w:rPr>
          <w:rFonts w:ascii="Times New Roman" w:hAnsi="Times New Roman" w:cs="Times New Roman"/>
          <w:sz w:val="84"/>
          <w:szCs w:val="84"/>
        </w:rPr>
      </w:pPr>
    </w:p>
    <w:p w14:paraId="2EC79576">
      <w:pPr>
        <w:pStyle w:val="16"/>
        <w:jc w:val="center"/>
        <w:rPr>
          <w:rFonts w:ascii="Times New Roman" w:hAnsi="Times New Roman" w:cs="Times New Roman"/>
          <w:sz w:val="84"/>
          <w:szCs w:val="84"/>
        </w:rPr>
      </w:pPr>
    </w:p>
    <w:p w14:paraId="79C66EDF">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285DF85">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永州市冷水滩市场监督管理局</w:t>
      </w:r>
      <w:r>
        <w:rPr>
          <w:rFonts w:ascii="Times New Roman" w:hAnsi="Times New Roman" w:eastAsia="方正小标宋简体" w:cs="Times New Roman"/>
          <w:sz w:val="72"/>
          <w:szCs w:val="72"/>
        </w:rPr>
        <w:t>部门决算</w:t>
      </w:r>
    </w:p>
    <w:p w14:paraId="4C682F7A">
      <w:pPr>
        <w:pStyle w:val="16"/>
        <w:jc w:val="both"/>
        <w:rPr>
          <w:rFonts w:ascii="Times New Roman" w:hAnsi="Times New Roman" w:cs="Times New Roman"/>
          <w:sz w:val="56"/>
          <w:szCs w:val="56"/>
        </w:rPr>
      </w:pPr>
    </w:p>
    <w:p w14:paraId="4785076C">
      <w:pPr>
        <w:pStyle w:val="16"/>
        <w:rPr>
          <w:rFonts w:ascii="Times New Roman" w:hAnsi="Times New Roman" w:cs="Times New Roman"/>
          <w:sz w:val="56"/>
          <w:szCs w:val="56"/>
        </w:rPr>
      </w:pPr>
    </w:p>
    <w:p w14:paraId="4E9FFF8D">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A6A7003">
      <w:pPr>
        <w:pStyle w:val="16"/>
        <w:spacing w:line="600" w:lineRule="exact"/>
        <w:jc w:val="both"/>
        <w:rPr>
          <w:rFonts w:ascii="Times New Roman" w:hAnsi="Times New Roman" w:cs="Times New Roman"/>
          <w:b/>
          <w:sz w:val="36"/>
          <w:szCs w:val="28"/>
        </w:rPr>
      </w:pPr>
    </w:p>
    <w:p w14:paraId="0524CE8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57FBD52">
      <w:pPr>
        <w:pStyle w:val="16"/>
        <w:spacing w:line="600" w:lineRule="exact"/>
        <w:jc w:val="center"/>
        <w:rPr>
          <w:rFonts w:ascii="Times New Roman" w:hAnsi="Times New Roman" w:cs="Times New Roman"/>
          <w:b/>
          <w:sz w:val="36"/>
          <w:szCs w:val="28"/>
        </w:rPr>
      </w:pPr>
    </w:p>
    <w:p w14:paraId="7779747C">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永州市冷水滩区市场监督管理局</w:t>
      </w:r>
      <w:r>
        <w:rPr>
          <w:rFonts w:ascii="Times New Roman" w:hAnsi="Times New Roman" w:cs="Times New Roman"/>
          <w:bCs/>
          <w:sz w:val="32"/>
          <w:szCs w:val="32"/>
        </w:rPr>
        <w:t>概况</w:t>
      </w:r>
    </w:p>
    <w:p w14:paraId="1C0EA0D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FA6718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424FDAD">
      <w:pPr>
        <w:pStyle w:val="16"/>
        <w:spacing w:before="156" w:beforeLines="50" w:after="156" w:afterLines="50" w:line="600" w:lineRule="exact"/>
        <w:rPr>
          <w:rFonts w:hint="eastAsia" w:ascii="Times New Roman" w:hAnsi="Times New Roman" w:eastAsia="黑体" w:cs="Times New Roman"/>
          <w:b w:val="0"/>
          <w:bCs/>
          <w:color w:val="FF0000"/>
          <w:sz w:val="24"/>
          <w:szCs w:val="24"/>
          <w:lang w:eastAsia="zh-CN"/>
        </w:rPr>
      </w:pPr>
      <w:r>
        <w:rPr>
          <w:rFonts w:ascii="Times New Roman" w:hAnsi="Times New Roman" w:cs="Times New Roman"/>
          <w:bCs/>
          <w:sz w:val="32"/>
          <w:szCs w:val="32"/>
        </w:rPr>
        <w:t>第二部分 部门决算表</w:t>
      </w:r>
    </w:p>
    <w:p w14:paraId="08E5854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96E1A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2802FF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828EAA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A146C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EF1BF6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81F7A8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B98FD2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CC2B00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85C171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5B6574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9200CD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F17039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87B0D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523E2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38BB48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EE739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84FC4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90FBE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1F834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A25228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46C11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A6C272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460A18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B4B6717">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BD6AC3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8BCD9C3">
      <w:pPr>
        <w:pStyle w:val="16"/>
        <w:spacing w:line="600" w:lineRule="exact"/>
        <w:rPr>
          <w:rFonts w:ascii="Times New Roman" w:hAnsi="Times New Roman" w:cs="Times New Roman"/>
          <w:bCs/>
          <w:sz w:val="28"/>
          <w:szCs w:val="28"/>
        </w:rPr>
      </w:pPr>
    </w:p>
    <w:p w14:paraId="4F5A66AC">
      <w:pPr>
        <w:jc w:val="center"/>
        <w:rPr>
          <w:rFonts w:ascii="Times New Roman" w:hAnsi="Times New Roman" w:cs="Times New Roman"/>
          <w:sz w:val="72"/>
          <w:szCs w:val="72"/>
        </w:rPr>
      </w:pPr>
    </w:p>
    <w:p w14:paraId="1249BC2D">
      <w:pPr>
        <w:jc w:val="center"/>
        <w:rPr>
          <w:rFonts w:ascii="Times New Roman" w:hAnsi="Times New Roman" w:cs="Times New Roman"/>
          <w:sz w:val="72"/>
          <w:szCs w:val="72"/>
        </w:rPr>
      </w:pPr>
    </w:p>
    <w:p w14:paraId="57AFF9AC">
      <w:pPr>
        <w:jc w:val="center"/>
        <w:rPr>
          <w:rFonts w:ascii="Times New Roman" w:hAnsi="Times New Roman" w:cs="Times New Roman"/>
          <w:sz w:val="72"/>
          <w:szCs w:val="72"/>
        </w:rPr>
      </w:pPr>
    </w:p>
    <w:p w14:paraId="243740D1">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ADF3F6C">
      <w:pPr>
        <w:rPr>
          <w:rFonts w:ascii="Times New Roman" w:hAnsi="Times New Roman" w:eastAsia="方正小标宋_GBK" w:cs="Times New Roman"/>
          <w:sz w:val="72"/>
          <w:szCs w:val="72"/>
        </w:rPr>
      </w:pPr>
    </w:p>
    <w:p w14:paraId="50CE8A2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6AD314C">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永州市冷水滩市场监督管理局</w:t>
      </w:r>
      <w:r>
        <w:rPr>
          <w:rFonts w:ascii="Times New Roman" w:hAnsi="Times New Roman" w:eastAsia="方正小标宋_GBK" w:cs="Times New Roman"/>
          <w:sz w:val="52"/>
          <w:szCs w:val="52"/>
        </w:rPr>
        <w:t>概况</w:t>
      </w:r>
    </w:p>
    <w:p w14:paraId="42F52857">
      <w:pPr>
        <w:pStyle w:val="7"/>
        <w:ind w:left="0" w:leftChars="0" w:firstLine="0" w:firstLineChars="0"/>
        <w:rPr>
          <w:rFonts w:ascii="Times New Roman" w:hAnsi="Times New Roman" w:cs="Times New Roman"/>
        </w:rPr>
      </w:pPr>
    </w:p>
    <w:p w14:paraId="139EBAE8">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D9D1B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负责市场综合监督管理。贯彻执行国家有关市场监督管理的方针政策和法律法规，拟制市场监督管理地方规范性文件，组织实施质量强区战略、食品安全战略、标准化战略和知识产权战略，拟制并组织实施有关规划，规范和维护市场秩序，营造诚实守信、公平竞争的市场环境。</w:t>
      </w:r>
    </w:p>
    <w:p w14:paraId="7AC60A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负责市场主体统一登记注册。负责全区各类企业、农民专业合作社和从事经营活动的单位、个体工商户以及外国（地区）企业常驻代表机构等市场主体的登记注册和监督管理工作。建立市场主体信患公示和共享机制，依法公示和共享有关信息，加强信用监管，推动市场主体信用体系建设。</w:t>
      </w:r>
    </w:p>
    <w:p w14:paraId="278A45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14:paraId="7DA7DF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）负责组织和指导市场监督综合执法工作。指导全区市场监管综合执法队伍整合和建设，推动实行统一的市场监管。组织配合查处重大违法案件。规范市场监管行政执法行为。</w:t>
      </w:r>
    </w:p>
    <w:p w14:paraId="68A7B8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受上级委托履行权限内的反垄断执法调查职责。统筹推进竞争政策实施，组织实施公平竞争审查制度。根据委托依法对经营者集中行为进行反垄断调查，根据委托负责承担垄断协议、滥用市场支配地位和滥用行政权力排除、限制竞争等反垄断工作。</w:t>
      </w:r>
    </w:p>
    <w:p w14:paraId="6717D0C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rPr>
        <w:t>）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14:paraId="4717BD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）负责宏观质量管理。拟制并组织实施质量强区发展的制度措施，会同有关部门组织实施较大工程设备质量监理制度，组织较大产品质量事故调查，贯彻实施缺陷产品召回制度，监督管理产品防伪工作。</w:t>
      </w:r>
    </w:p>
    <w:p w14:paraId="034BCD6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rPr>
        <w:t>）负责产品质量安全监督管理。管理产品质量安全风险监控、全区监督抽查工作，落实质量分级制度、质量安全追溯制度。负责工业产品生产许可监督管理。负责纤维质量监督工作。</w:t>
      </w:r>
    </w:p>
    <w:p w14:paraId="63E5AD4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rPr>
        <w:t>）负责特种设备安全监督管理。综合管理特种设备安全监察、监督工作，监督检查高耗能特种设备节能标准和锅炉环境保护标准的执行情况。按规定权限配合组织调查处理特种设备事 故并进行统计分析。</w:t>
      </w:r>
    </w:p>
    <w:p w14:paraId="23F3456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w:t>
      </w:r>
      <w:r>
        <w:rPr>
          <w:rFonts w:hint="eastAsia" w:ascii="Times New Roman" w:hAnsi="Times New Roman" w:eastAsia="仿宋_GB2312" w:cs="Times New Roman"/>
          <w:sz w:val="32"/>
          <w:szCs w:val="32"/>
        </w:rPr>
        <w:t>）负责食品安全监督管理综合协调。组织制定食品安全有关政策措施并组织实施。负责食品安全应急体系建设，组织指导一般食品安全事件应急处置和调查处理工作。建立健全食品安全重要信息直报制度。承担区政府食品安全委员会日常工作。</w:t>
      </w:r>
    </w:p>
    <w:p w14:paraId="7F8BE6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十一</w:t>
      </w:r>
      <w:r>
        <w:rPr>
          <w:rFonts w:hint="eastAsia" w:ascii="Times New Roman" w:hAnsi="Times New Roman" w:eastAsia="仿宋_GB2312" w:cs="Times New Roman"/>
          <w:sz w:val="32"/>
          <w:szCs w:val="32"/>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14:paraId="08C9E57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十二</w:t>
      </w:r>
      <w:r>
        <w:rPr>
          <w:rFonts w:hint="eastAsia" w:ascii="Times New Roman" w:hAnsi="Times New Roman" w:eastAsia="仿宋_GB2312" w:cs="Times New Roman"/>
          <w:sz w:val="32"/>
          <w:szCs w:val="32"/>
        </w:rPr>
        <w:t>）负责统一管理计量工作。推行法定计量单位和国家计量制度，依职责管理计量器具及量值传递和比对工作。规范、监督商品量和市场计量行为。</w:t>
      </w:r>
    </w:p>
    <w:p w14:paraId="0300FF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十三</w:t>
      </w:r>
      <w:r>
        <w:rPr>
          <w:rFonts w:hint="eastAsia" w:ascii="Times New Roman" w:hAnsi="Times New Roman" w:eastAsia="仿宋_GB2312" w:cs="Times New Roman"/>
          <w:sz w:val="32"/>
          <w:szCs w:val="32"/>
        </w:rPr>
        <w:t>）负责统一管理标准化工作。指导开展标准化试点示范工作。依据法定职责，对标准的制定进行指导监督，对标准的实施进行监督检查。推行采用国际标准。</w:t>
      </w:r>
    </w:p>
    <w:p w14:paraId="0E5886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十四</w:t>
      </w:r>
      <w:r>
        <w:rPr>
          <w:rFonts w:hint="eastAsia" w:ascii="Times New Roman" w:hAnsi="Times New Roman" w:eastAsia="仿宋_GB2312" w:cs="Times New Roman"/>
          <w:sz w:val="32"/>
          <w:szCs w:val="32"/>
        </w:rPr>
        <w:t>）负责统一管理检验检测工作。规范检验检测市场，完善检验检测体系，指导协调检验检测行业发展。</w:t>
      </w:r>
    </w:p>
    <w:p w14:paraId="33D0BA9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十五</w:t>
      </w:r>
      <w:r>
        <w:rPr>
          <w:rFonts w:hint="eastAsia" w:ascii="Times New Roman" w:hAnsi="Times New Roman" w:eastAsia="仿宋_GB2312" w:cs="Times New Roman"/>
          <w:sz w:val="32"/>
          <w:szCs w:val="32"/>
        </w:rPr>
        <w:t>）负责统一管理、监督和综合协调全区认证认可工作。依法监督管理全区认证认可和合格评定有关活动。</w:t>
      </w:r>
    </w:p>
    <w:p w14:paraId="061AB8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十六</w:t>
      </w:r>
      <w:r>
        <w:rPr>
          <w:rFonts w:hint="eastAsia" w:ascii="Times New Roman" w:hAnsi="Times New Roman" w:eastAsia="仿宋_GB2312" w:cs="Times New Roman"/>
          <w:sz w:val="32"/>
          <w:szCs w:val="32"/>
        </w:rPr>
        <w:t>）负责市场监督管理、知识产权领域科技和信息化建设、新闻宣传、对外交流与合作。按规定承担技术性贸易措施有关工作。</w:t>
      </w:r>
    </w:p>
    <w:p w14:paraId="6DE9A01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十七</w:t>
      </w:r>
      <w:r>
        <w:rPr>
          <w:rFonts w:hint="eastAsia" w:ascii="Times New Roman" w:hAnsi="Times New Roman" w:eastAsia="仿宋_GB2312" w:cs="Times New Roman"/>
          <w:sz w:val="32"/>
          <w:szCs w:val="32"/>
        </w:rPr>
        <w:t>）负责实施知识产权战略，推进知识产权强区建设。组织制定实施知识产权创造、保护、运用的政策措施。负责知识产权公共服务体系建设、推动知识产权信息传播利用。统筹协调涉外知识产权有关事宜。</w:t>
      </w:r>
    </w:p>
    <w:p w14:paraId="1E99C0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十八</w:t>
      </w:r>
      <w:r>
        <w:rPr>
          <w:rFonts w:hint="eastAsia" w:ascii="Times New Roman" w:hAnsi="Times New Roman" w:eastAsia="仿宋_GB2312" w:cs="Times New Roman"/>
          <w:sz w:val="32"/>
          <w:szCs w:val="32"/>
        </w:rPr>
        <w:t>）负责保护知识产权。落实严格保护商标、专利、原产地地理标志等相关工作，负责知识产权保护体系建设，组织指导商标、专利执法工作。</w:t>
      </w:r>
    </w:p>
    <w:p w14:paraId="36B3B7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十九</w:t>
      </w:r>
      <w:r>
        <w:rPr>
          <w:rFonts w:hint="eastAsia" w:ascii="Times New Roman" w:hAnsi="Times New Roman" w:eastAsia="仿宋_GB2312" w:cs="Times New Roman"/>
          <w:sz w:val="32"/>
          <w:szCs w:val="32"/>
        </w:rPr>
        <w:t>）负责知识产权创造运用。按权限负责商标、专利和原产地地理标志的管理，开展知识产权运营体系建设，指导较大经济活动知识产权评议，规范知识产权交易和无形资产评估，促进知识产权转移转化。</w:t>
      </w:r>
    </w:p>
    <w:p w14:paraId="6D840E6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w:t>
      </w:r>
      <w:r>
        <w:rPr>
          <w:rFonts w:hint="eastAsia" w:ascii="Times New Roman" w:hAnsi="Times New Roman" w:eastAsia="仿宋_GB2312" w:cs="Times New Roman"/>
          <w:sz w:val="32"/>
          <w:szCs w:val="32"/>
        </w:rPr>
        <w:t>）负责组织开展有关服务领域消费维权工作，查处制售假冒伪劣等违法行为，指导消费者咨询、申诉、举报受理、处理和网络体系建设等工作，保护经营者、消费者合法权益。</w:t>
      </w:r>
    </w:p>
    <w:p w14:paraId="21132D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二十一</w:t>
      </w:r>
      <w:r>
        <w:rPr>
          <w:rFonts w:hint="eastAsia" w:ascii="Times New Roman" w:hAnsi="Times New Roman" w:eastAsia="仿宋_GB2312" w:cs="Times New Roman"/>
          <w:sz w:val="32"/>
          <w:szCs w:val="32"/>
        </w:rPr>
        <w:t>）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w:t>
      </w:r>
      <w:r>
        <w:rPr>
          <w:rFonts w:hint="eastAsia" w:ascii="Times New Roman" w:hAnsi="Times New Roman" w:eastAsia="仿宋_GB2312" w:cs="Times New Roman"/>
          <w:sz w:val="32"/>
          <w:szCs w:val="32"/>
          <w:lang w:eastAsia="zh-CN"/>
        </w:rPr>
        <w:t>。</w:t>
      </w:r>
    </w:p>
    <w:p w14:paraId="7E9A320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446628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40464D71">
      <w:pPr>
        <w:widowControl/>
        <w:spacing w:line="600" w:lineRule="exact"/>
        <w:ind w:firstLine="627" w:firstLineChars="196"/>
        <w:jc w:val="left"/>
        <w:rPr>
          <w:rFonts w:hint="eastAsia"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仿宋_GB2312"/>
          <w:bCs/>
          <w:kern w:val="0"/>
          <w:sz w:val="32"/>
          <w:szCs w:val="32"/>
          <w:lang w:eastAsia="zh-CN"/>
        </w:rPr>
        <w:t>永州市冷水滩区市场监督管理局</w:t>
      </w:r>
      <w:r>
        <w:rPr>
          <w:rFonts w:hint="eastAsia" w:ascii="Times New Roman" w:hAnsi="Times New Roman" w:eastAsia="仿宋_GB2312" w:cs="Times New Roman"/>
          <w:b w:val="0"/>
          <w:color w:val="auto"/>
          <w:kern w:val="2"/>
          <w:sz w:val="32"/>
          <w:szCs w:val="32"/>
          <w:lang w:val="en-US" w:eastAsia="zh-CN" w:bidi="ar-SA"/>
        </w:rPr>
        <w:t>是政府工作部门，是财政全额拨款的行政单位。有内设机构3</w:t>
      </w:r>
      <w:r>
        <w:rPr>
          <w:rFonts w:hint="eastAsia" w:eastAsia="仿宋_GB2312" w:cs="Times New Roman"/>
          <w:b w:val="0"/>
          <w:color w:val="auto"/>
          <w:kern w:val="2"/>
          <w:sz w:val="32"/>
          <w:szCs w:val="32"/>
          <w:lang w:val="en-US" w:eastAsia="zh-CN" w:bidi="ar-SA"/>
        </w:rPr>
        <w:t>8</w:t>
      </w:r>
      <w:r>
        <w:rPr>
          <w:rFonts w:hint="eastAsia" w:ascii="Times New Roman" w:hAnsi="Times New Roman" w:eastAsia="仿宋_GB2312" w:cs="Times New Roman"/>
          <w:b w:val="0"/>
          <w:color w:val="auto"/>
          <w:kern w:val="2"/>
          <w:sz w:val="32"/>
          <w:szCs w:val="32"/>
          <w:lang w:val="en-US" w:eastAsia="zh-CN" w:bidi="ar-SA"/>
        </w:rPr>
        <w:t>个：</w:t>
      </w:r>
    </w:p>
    <w:p w14:paraId="308D91F2">
      <w:pPr>
        <w:widowControl/>
        <w:spacing w:line="600" w:lineRule="exact"/>
        <w:ind w:firstLine="640" w:firstLineChars="200"/>
        <w:rPr>
          <w:rFonts w:hint="eastAsia"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办公室(信访股)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综合规划股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政策法规股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执法督查股(规范直销与打击传销办公室)</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登记注册股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信用监督管理股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反垄断股、价格监督检查和反不正当竞争股、网络交易监督管理股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广告监督管理股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质量发展股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产品质量安全监督管理股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食品安全协调股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食品生产安全监督管理股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餐饮服务食品安全监督管理股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食品流通安全监督管理股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特殊食品安全监督管理股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食品安全抽检监测股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特种设备安全监察股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计量股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标准化股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认证监督管理股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认可与检验检测监督管理股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知识产权促进股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知识产权保护股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知识产权运用股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消费者权益保护股(投诉举报办公室)</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新闻宣传与应急管理股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行政审批股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非公有制经济组织党建工作股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药品流通监督管理股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医疗器械监督管理股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化妆品监督管理股(药品生产服务股)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盐务监督管理股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不良反应监测股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科技和财务股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人事股</w:t>
      </w:r>
      <w:r>
        <w:rPr>
          <w:rFonts w:hint="eastAsia"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离退休人员管理服务股</w:t>
      </w:r>
      <w:r>
        <w:rPr>
          <w:rFonts w:hint="eastAsia" w:eastAsia="仿宋_GB2312" w:cs="Times New Roman"/>
          <w:b w:val="0"/>
          <w:color w:val="auto"/>
          <w:kern w:val="2"/>
          <w:sz w:val="32"/>
          <w:szCs w:val="32"/>
          <w:lang w:val="en-US" w:eastAsia="zh-CN" w:bidi="ar-SA"/>
        </w:rPr>
        <w:t xml:space="preserve">。  </w:t>
      </w:r>
    </w:p>
    <w:p w14:paraId="18416238">
      <w:pPr>
        <w:widowControl/>
        <w:numPr>
          <w:ilvl w:val="0"/>
          <w:numId w:val="1"/>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524B301B">
      <w:pPr>
        <w:widowControl/>
        <w:spacing w:line="600" w:lineRule="exact"/>
        <w:ind w:firstLine="640" w:firstLineChars="200"/>
        <w:rPr>
          <w:rFonts w:hint="eastAsia" w:eastAsia="仿宋_GB2312"/>
          <w:color w:val="auto"/>
          <w:sz w:val="32"/>
          <w:szCs w:val="32"/>
          <w:lang w:val="en-US" w:eastAsia="zh-CN"/>
        </w:rPr>
      </w:pPr>
      <w:r>
        <w:rPr>
          <w:rFonts w:hint="eastAsia" w:ascii="Times New Roman" w:hAnsi="Times New Roman" w:eastAsia="仿宋_GB2312" w:cs="仿宋_GB2312"/>
          <w:bCs/>
          <w:kern w:val="0"/>
          <w:sz w:val="32"/>
          <w:szCs w:val="32"/>
          <w:lang w:eastAsia="zh-CN"/>
        </w:rPr>
        <w:t>永州市冷水滩区市场监督管理局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eastAsia="仿宋_GB2312"/>
          <w:color w:val="auto"/>
          <w:sz w:val="32"/>
          <w:szCs w:val="32"/>
          <w:lang w:val="en-US" w:eastAsia="zh-CN"/>
        </w:rPr>
        <w:t>永州市冷水滩区市场监督管理局本级、永州市市场监督管理局冷水滩分局个体私营经济发展指导中心、冷水滩区消费者委员会办公室、永州市工商局冷水滩分局信息中心。</w:t>
      </w:r>
    </w:p>
    <w:p w14:paraId="17070DE3">
      <w:pPr>
        <w:widowControl/>
        <w:spacing w:line="600" w:lineRule="exact"/>
        <w:ind w:firstLine="640" w:firstLineChars="200"/>
        <w:rPr>
          <w:rFonts w:ascii="Times New Roman" w:hAnsi="Times New Roman" w:eastAsia="仿宋_GB2312" w:cs="Times New Roman"/>
          <w:bCs/>
          <w:kern w:val="0"/>
          <w:sz w:val="32"/>
          <w:szCs w:val="32"/>
        </w:rPr>
      </w:pPr>
    </w:p>
    <w:p w14:paraId="5BF1E2D9">
      <w:pPr>
        <w:jc w:val="left"/>
        <w:rPr>
          <w:rFonts w:ascii="Times New Roman" w:hAnsi="Times New Roman" w:eastAsia="仿宋_GB2312" w:cs="Times New Roman"/>
          <w:sz w:val="28"/>
          <w:szCs w:val="32"/>
        </w:rPr>
      </w:pPr>
    </w:p>
    <w:p w14:paraId="2B88B091">
      <w:pPr>
        <w:jc w:val="center"/>
        <w:rPr>
          <w:rFonts w:ascii="Times New Roman" w:hAnsi="Times New Roman" w:eastAsia="黑体" w:cs="Times New Roman"/>
          <w:sz w:val="28"/>
          <w:szCs w:val="28"/>
        </w:rPr>
      </w:pPr>
    </w:p>
    <w:p w14:paraId="43492555"/>
    <w:p w14:paraId="00FEBC4D">
      <w:pPr>
        <w:pStyle w:val="11"/>
        <w:rPr>
          <w:rFonts w:ascii="Times New Roman" w:hAnsi="Times New Roman" w:cs="Times New Roman"/>
        </w:rPr>
      </w:pPr>
    </w:p>
    <w:p w14:paraId="114AF9F3">
      <w:pPr>
        <w:pStyle w:val="7"/>
        <w:sectPr>
          <w:footerReference r:id="rId6" w:type="default"/>
          <w:pgSz w:w="11906" w:h="16838"/>
          <w:pgMar w:top="1417" w:right="1588" w:bottom="1417" w:left="1588" w:header="851" w:footer="992" w:gutter="0"/>
          <w:pgNumType w:start="1"/>
          <w:cols w:space="425" w:num="1"/>
          <w:docGrid w:type="lines" w:linePitch="312" w:charSpace="0"/>
        </w:sectPr>
      </w:pPr>
    </w:p>
    <w:p w14:paraId="415D1FC6">
      <w:pPr>
        <w:pStyle w:val="16"/>
        <w:numPr>
          <w:ilvl w:val="0"/>
          <w:numId w:val="0"/>
        </w:numPr>
        <w:jc w:val="center"/>
        <w:rPr>
          <w:rFonts w:ascii="Times New Roman" w:hAnsi="Times New Roman" w:eastAsia="方正小标宋_GBK" w:cs="Times New Roman"/>
          <w:sz w:val="52"/>
          <w:szCs w:val="52"/>
        </w:rPr>
      </w:pPr>
    </w:p>
    <w:p w14:paraId="52FCB03F">
      <w:pPr>
        <w:pStyle w:val="16"/>
        <w:numPr>
          <w:ilvl w:val="0"/>
          <w:numId w:val="0"/>
        </w:numPr>
        <w:jc w:val="center"/>
        <w:rPr>
          <w:rFonts w:ascii="Times New Roman" w:hAnsi="Times New Roman" w:eastAsia="方正小标宋_GBK" w:cs="Times New Roman"/>
          <w:sz w:val="52"/>
          <w:szCs w:val="52"/>
        </w:rPr>
      </w:pPr>
    </w:p>
    <w:p w14:paraId="2E74E8BB">
      <w:pPr>
        <w:pStyle w:val="16"/>
        <w:numPr>
          <w:ilvl w:val="0"/>
          <w:numId w:val="2"/>
        </w:numPr>
        <w:jc w:val="center"/>
        <w:rPr>
          <w:rFonts w:ascii="Times New Roman" w:hAnsi="Times New Roman" w:eastAsia="方正小标宋_GBK" w:cs="Times New Roman"/>
          <w:sz w:val="52"/>
          <w:szCs w:val="52"/>
        </w:rPr>
      </w:pPr>
    </w:p>
    <w:p w14:paraId="30055662">
      <w:pPr>
        <w:pStyle w:val="16"/>
        <w:numPr>
          <w:ilvl w:val="0"/>
          <w:numId w:val="0"/>
        </w:numPr>
        <w:ind w:firstLine="2860" w:firstLineChars="55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部门决算表</w:t>
      </w:r>
    </w:p>
    <w:p w14:paraId="4943D1B0">
      <w:pPr>
        <w:pStyle w:val="16"/>
        <w:numPr>
          <w:ilvl w:val="0"/>
          <w:numId w:val="0"/>
        </w:numPr>
        <w:ind w:firstLine="2860" w:firstLineChars="550"/>
        <w:jc w:val="both"/>
        <w:rPr>
          <w:rFonts w:ascii="Times New Roman" w:hAnsi="Times New Roman" w:eastAsia="方正小标宋_GBK" w:cs="Times New Roman"/>
          <w:sz w:val="52"/>
          <w:szCs w:val="52"/>
        </w:rPr>
      </w:pPr>
    </w:p>
    <w:p w14:paraId="1B7CBE97">
      <w:pPr>
        <w:widowControl/>
        <w:spacing w:line="600" w:lineRule="exact"/>
        <w:rPr>
          <w:rFonts w:ascii="Times New Roman" w:hAnsi="Times New Roman" w:eastAsia="方正小标宋_GBK" w:cs="Times New Roman"/>
          <w:sz w:val="70"/>
          <w:szCs w:val="70"/>
        </w:rPr>
      </w:pPr>
      <w:r>
        <w:rPr>
          <w:rFonts w:hint="eastAsia" w:ascii="Times New Roman" w:hAnsi="Times New Roman" w:eastAsia="黑体" w:cs="Times New Roman"/>
          <w:bCs/>
          <w:kern w:val="0"/>
          <w:sz w:val="44"/>
          <w:szCs w:val="44"/>
          <w:lang w:val="en-US" w:eastAsia="zh-CN"/>
        </w:rPr>
        <w:t>详见《附件1：202</w:t>
      </w:r>
      <w:r>
        <w:rPr>
          <w:rFonts w:hint="default" w:ascii="Times New Roman" w:hAnsi="Times New Roman" w:eastAsia="黑体" w:cs="Times New Roman"/>
          <w:bCs/>
          <w:kern w:val="0"/>
          <w:sz w:val="44"/>
          <w:szCs w:val="44"/>
          <w:lang w:val="en" w:eastAsia="zh-CN"/>
        </w:rPr>
        <w:t>4</w:t>
      </w:r>
      <w:r>
        <w:rPr>
          <w:rFonts w:hint="eastAsia" w:ascii="Times New Roman" w:hAnsi="Times New Roman" w:eastAsia="黑体" w:cs="Times New Roman"/>
          <w:bCs/>
          <w:kern w:val="0"/>
          <w:sz w:val="44"/>
          <w:szCs w:val="44"/>
          <w:lang w:val="en-US" w:eastAsia="zh-CN"/>
        </w:rPr>
        <w:t>年度部门决算公开表》</w:t>
      </w:r>
    </w:p>
    <w:p w14:paraId="4C3F2295">
      <w:pPr>
        <w:rPr>
          <w:rFonts w:hint="default" w:ascii="Times New Roman" w:hAnsi="Times New Roman" w:eastAsia="仿宋_GB2312" w:cs="Times New Roman"/>
          <w:color w:val="FF0000"/>
          <w:sz w:val="32"/>
          <w:szCs w:val="32"/>
          <w:lang w:val="en-US" w:eastAsia="zh-CN"/>
        </w:rPr>
      </w:pPr>
    </w:p>
    <w:p w14:paraId="769AB7F3">
      <w:pPr>
        <w:rPr>
          <w:rFonts w:hint="default" w:ascii="Times New Roman" w:hAnsi="Times New Roman" w:eastAsia="仿宋_GB2312" w:cs="Times New Roman"/>
          <w:color w:val="FF0000"/>
          <w:sz w:val="32"/>
          <w:szCs w:val="32"/>
          <w:lang w:val="en-US" w:eastAsia="zh-CN"/>
        </w:rPr>
      </w:pPr>
    </w:p>
    <w:p w14:paraId="23D775A0">
      <w:pPr>
        <w:rPr>
          <w:rFonts w:hint="default" w:ascii="Times New Roman" w:hAnsi="Times New Roman" w:eastAsia="仿宋_GB2312" w:cs="Times New Roman"/>
          <w:color w:val="FF0000"/>
          <w:sz w:val="32"/>
          <w:szCs w:val="32"/>
          <w:lang w:val="en-US" w:eastAsia="zh-CN"/>
        </w:rPr>
      </w:pPr>
    </w:p>
    <w:p w14:paraId="7B1DABE0">
      <w:pPr>
        <w:rPr>
          <w:rFonts w:hint="default" w:ascii="Times New Roman" w:hAnsi="Times New Roman" w:eastAsia="仿宋_GB2312" w:cs="Times New Roman"/>
          <w:color w:val="FF0000"/>
          <w:sz w:val="32"/>
          <w:szCs w:val="32"/>
          <w:lang w:val="en-US" w:eastAsia="zh-CN"/>
        </w:rPr>
      </w:pPr>
    </w:p>
    <w:p w14:paraId="43DA14E2">
      <w:pPr>
        <w:rPr>
          <w:rFonts w:hint="default" w:ascii="Times New Roman" w:hAnsi="Times New Roman" w:eastAsia="仿宋_GB2312" w:cs="Times New Roman"/>
          <w:color w:val="FF0000"/>
          <w:sz w:val="32"/>
          <w:szCs w:val="32"/>
          <w:lang w:val="en-US" w:eastAsia="zh-CN"/>
        </w:rPr>
      </w:pPr>
    </w:p>
    <w:p w14:paraId="58AF9A91">
      <w:pPr>
        <w:rPr>
          <w:rFonts w:hint="default" w:ascii="Times New Roman" w:hAnsi="Times New Roman" w:eastAsia="仿宋_GB2312" w:cs="Times New Roman"/>
          <w:color w:val="FF0000"/>
          <w:sz w:val="32"/>
          <w:szCs w:val="32"/>
          <w:lang w:val="en-US" w:eastAsia="zh-CN"/>
        </w:rPr>
      </w:pPr>
    </w:p>
    <w:p w14:paraId="7E6F3676">
      <w:pPr>
        <w:rPr>
          <w:rFonts w:hint="default" w:ascii="Times New Roman" w:hAnsi="Times New Roman" w:eastAsia="仿宋_GB2312" w:cs="Times New Roman"/>
          <w:color w:val="FF0000"/>
          <w:sz w:val="32"/>
          <w:szCs w:val="32"/>
          <w:lang w:val="en-US" w:eastAsia="zh-CN"/>
        </w:rPr>
      </w:pPr>
    </w:p>
    <w:p w14:paraId="6ADA34DD">
      <w:pPr>
        <w:rPr>
          <w:rFonts w:hint="default" w:ascii="Times New Roman" w:hAnsi="Times New Roman" w:eastAsia="仿宋_GB2312" w:cs="Times New Roman"/>
          <w:color w:val="FF0000"/>
          <w:sz w:val="32"/>
          <w:szCs w:val="32"/>
          <w:lang w:val="en-US" w:eastAsia="zh-CN"/>
        </w:rPr>
      </w:pPr>
    </w:p>
    <w:p w14:paraId="73B0AEE1">
      <w:pPr>
        <w:rPr>
          <w:rFonts w:hint="default" w:ascii="Times New Roman" w:hAnsi="Times New Roman" w:eastAsia="仿宋_GB2312" w:cs="Times New Roman"/>
          <w:color w:val="FF0000"/>
          <w:sz w:val="32"/>
          <w:szCs w:val="32"/>
          <w:lang w:val="en-US" w:eastAsia="zh-CN"/>
        </w:rPr>
      </w:pPr>
    </w:p>
    <w:p w14:paraId="41188AD2">
      <w:pPr>
        <w:rPr>
          <w:rFonts w:hint="default" w:ascii="Times New Roman" w:hAnsi="Times New Roman" w:eastAsia="仿宋_GB2312" w:cs="Times New Roman"/>
          <w:color w:val="FF0000"/>
          <w:sz w:val="32"/>
          <w:szCs w:val="32"/>
          <w:lang w:val="en-US" w:eastAsia="zh-CN"/>
        </w:rPr>
      </w:pPr>
    </w:p>
    <w:p w14:paraId="2C225D03">
      <w:pPr>
        <w:rPr>
          <w:rFonts w:hint="default" w:ascii="Times New Roman" w:hAnsi="Times New Roman" w:eastAsia="仿宋_GB2312" w:cs="Times New Roman"/>
          <w:color w:val="FF0000"/>
          <w:sz w:val="32"/>
          <w:szCs w:val="32"/>
          <w:lang w:val="en-US" w:eastAsia="zh-CN"/>
        </w:rPr>
      </w:pPr>
    </w:p>
    <w:p w14:paraId="13970D99">
      <w:pPr>
        <w:rPr>
          <w:rFonts w:hint="default" w:ascii="Times New Roman" w:hAnsi="Times New Roman" w:eastAsia="仿宋_GB2312" w:cs="Times New Roman"/>
          <w:color w:val="FF0000"/>
          <w:sz w:val="32"/>
          <w:szCs w:val="32"/>
          <w:lang w:val="en-US" w:eastAsia="zh-CN"/>
        </w:rPr>
      </w:pPr>
    </w:p>
    <w:p w14:paraId="631832B2">
      <w:pPr>
        <w:rPr>
          <w:rFonts w:hint="default" w:ascii="Times New Roman" w:hAnsi="Times New Roman" w:eastAsia="仿宋_GB2312" w:cs="Times New Roman"/>
          <w:color w:val="FF0000"/>
          <w:sz w:val="32"/>
          <w:szCs w:val="32"/>
          <w:lang w:val="en-US" w:eastAsia="zh-CN"/>
        </w:rPr>
      </w:pPr>
    </w:p>
    <w:p w14:paraId="48594912">
      <w:pPr>
        <w:rPr>
          <w:rFonts w:hint="default" w:ascii="Times New Roman" w:hAnsi="Times New Roman" w:eastAsia="仿宋_GB2312" w:cs="Times New Roman"/>
          <w:color w:val="FF0000"/>
          <w:sz w:val="32"/>
          <w:szCs w:val="32"/>
          <w:lang w:val="en-US" w:eastAsia="zh-CN"/>
        </w:rPr>
      </w:pPr>
    </w:p>
    <w:p w14:paraId="222D1EDD">
      <w:pPr>
        <w:rPr>
          <w:rFonts w:hint="default" w:ascii="Times New Roman" w:hAnsi="Times New Roman" w:eastAsia="仿宋_GB2312" w:cs="Times New Roman"/>
          <w:color w:val="FF0000"/>
          <w:sz w:val="32"/>
          <w:szCs w:val="32"/>
          <w:lang w:val="en-US" w:eastAsia="zh-CN"/>
        </w:rPr>
      </w:pPr>
    </w:p>
    <w:p w14:paraId="11089903">
      <w:pPr>
        <w:rPr>
          <w:rFonts w:ascii="Times New Roman" w:hAnsi="Times New Roman" w:eastAsia="方正小标宋_GBK" w:cs="Times New Roman"/>
          <w:sz w:val="72"/>
          <w:szCs w:val="72"/>
        </w:rPr>
      </w:pPr>
    </w:p>
    <w:p w14:paraId="377B9EB8">
      <w:pPr>
        <w:pStyle w:val="2"/>
        <w:rPr>
          <w:rFonts w:ascii="Times New Roman" w:hAnsi="Times New Roman" w:eastAsia="方正小标宋_GBK" w:cs="Times New Roman"/>
          <w:sz w:val="72"/>
          <w:szCs w:val="72"/>
        </w:rPr>
      </w:pPr>
    </w:p>
    <w:p w14:paraId="181DB334"/>
    <w:p w14:paraId="497D77D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18F96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C0C348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943BF6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3E0705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我单位为市区两级共管单位故有支出差距和厉行节约，节省开支。</w:t>
      </w:r>
    </w:p>
    <w:p w14:paraId="7113476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我单位为市区两级共管单位故有支出差距和厉行节约，节省开支</w:t>
      </w:r>
      <w:r>
        <w:rPr>
          <w:rFonts w:hint="eastAsia" w:ascii="Times New Roman" w:hAnsi="Times New Roman" w:eastAsia="仿宋_GB2312" w:cs="Times New Roman"/>
          <w:sz w:val="32"/>
          <w:szCs w:val="32"/>
          <w:lang w:eastAsia="zh-CN"/>
        </w:rPr>
        <w:t>。</w:t>
      </w:r>
    </w:p>
    <w:p w14:paraId="15EE875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A74D5E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95BDA7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0A9442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万元，其中：</w:t>
      </w:r>
      <w:r>
        <w:rPr>
          <w:rFonts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1509.63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173.1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848752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5ADFBB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eastAsia="zh-CN"/>
        </w:rPr>
        <w:t>入</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落实过紧日子要求厉行节约，</w:t>
      </w:r>
      <w:r>
        <w:rPr>
          <w:rFonts w:hint="eastAsia" w:ascii="仿宋_GB2312" w:eastAsia="仿宋_GB2312" w:cs="仿宋_GB2312"/>
          <w:sz w:val="32"/>
          <w:szCs w:val="32"/>
          <w:highlight w:val="none"/>
          <w:lang w:val="en-US" w:eastAsia="zh-CN" w:bidi="ar"/>
        </w:rPr>
        <w:t>人员减少，经费减少。</w:t>
      </w:r>
    </w:p>
    <w:p w14:paraId="1BD2A5B7">
      <w:pPr>
        <w:pStyle w:val="16"/>
        <w:overflowPunct w:val="0"/>
        <w:autoSpaceDE/>
        <w:autoSpaceDN/>
        <w:spacing w:line="600" w:lineRule="exact"/>
        <w:ind w:firstLine="640" w:firstLineChars="200"/>
        <w:jc w:val="both"/>
        <w:rPr>
          <w:rFonts w:hint="eastAsia"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 xml:space="preserve">1682.73 </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仿宋_GB2312" w:eastAsia="仿宋_GB2312" w:cs="仿宋_GB2312"/>
          <w:sz w:val="32"/>
          <w:szCs w:val="32"/>
          <w:highlight w:val="none"/>
          <w:lang w:val="en-US" w:eastAsia="zh-CN" w:bidi="ar"/>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落实过紧日子要求厉行节约，</w:t>
      </w:r>
      <w:r>
        <w:rPr>
          <w:rFonts w:hint="eastAsia" w:ascii="仿宋_GB2312" w:eastAsia="仿宋_GB2312" w:cs="仿宋_GB2312"/>
          <w:sz w:val="32"/>
          <w:szCs w:val="32"/>
          <w:highlight w:val="none"/>
          <w:lang w:val="en-US" w:eastAsia="zh-CN" w:bidi="ar"/>
        </w:rPr>
        <w:t>人员减少，经费减少。</w:t>
      </w:r>
    </w:p>
    <w:p w14:paraId="4A92B88D">
      <w:pPr>
        <w:pStyle w:val="16"/>
        <w:numPr>
          <w:ilvl w:val="0"/>
          <w:numId w:val="3"/>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一般公共预算财政拨款支出决算情况说明</w:t>
      </w:r>
    </w:p>
    <w:p w14:paraId="08F5C023">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9229A66">
      <w:pPr>
        <w:pStyle w:val="16"/>
        <w:overflowPunct w:val="0"/>
        <w:autoSpaceDE/>
        <w:autoSpaceDN/>
        <w:spacing w:line="600" w:lineRule="exact"/>
        <w:ind w:firstLine="640" w:firstLineChars="200"/>
        <w:jc w:val="both"/>
        <w:rPr>
          <w:rFonts w:hint="eastAsia" w:ascii="仿宋_GB2312" w:eastAsia="仿宋_GB2312" w:cs="仿宋_GB2312"/>
          <w:sz w:val="32"/>
          <w:szCs w:val="32"/>
          <w:highlight w:val="none"/>
          <w:lang w:val="en-US" w:eastAsia="zh-CN" w:bidi="ar"/>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w:t>
      </w:r>
      <w:r>
        <w:rPr>
          <w:rFonts w:ascii="Times New Roman" w:hAnsi="Times New Roman" w:eastAsia="仿宋_GB2312" w:cs="Times New Roman"/>
          <w:sz w:val="32"/>
          <w:szCs w:val="32"/>
        </w:rPr>
        <w:t>财政拨款支出减少</w:t>
      </w:r>
      <w:r>
        <w:rPr>
          <w:rFonts w:hint="eastAsia" w:ascii="Times New Roman" w:hAnsi="Times New Roman" w:eastAsia="仿宋_GB2312" w:cs="Times New Roman"/>
          <w:sz w:val="32"/>
          <w:szCs w:val="32"/>
          <w:lang w:val="en-US" w:eastAsia="zh-CN"/>
        </w:rPr>
        <w:t>675.53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厉行节约以及人员经费和公用经费收入减少。</w:t>
      </w:r>
    </w:p>
    <w:p w14:paraId="69A4C9C9">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C059C6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1682.73</w:t>
      </w:r>
      <w:r>
        <w:rPr>
          <w:rFonts w:hint="eastAsia" w:ascii="Times New Roman" w:hAnsi="Times New Roman" w:eastAsia="仿宋_GB2312"/>
          <w:sz w:val="32"/>
          <w:szCs w:val="32"/>
        </w:rPr>
        <w:t>万元，主要用于以下方面：</w:t>
      </w:r>
      <w:r>
        <w:rPr>
          <w:rFonts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1326.38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174.93万元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10.4%；卫生健康支出69.02万元，占4.1%；住房保障支出112.4万元，占6.7%。</w:t>
      </w:r>
    </w:p>
    <w:p w14:paraId="1FDB57F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A3DB70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1566.64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107.4</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，其中：</w:t>
      </w:r>
    </w:p>
    <w:p w14:paraId="190E9A15">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1、一般公共服务（类）市场监督管理事务（款）行政运行（项）。年初预算为</w:t>
      </w:r>
      <w:r>
        <w:rPr>
          <w:rFonts w:hint="eastAsia" w:ascii="Times New Roman" w:hAnsi="Times New Roman" w:eastAsia="仿宋_GB2312"/>
          <w:color w:val="auto"/>
          <w:sz w:val="32"/>
          <w:szCs w:val="32"/>
          <w:lang w:val="en-US" w:eastAsia="zh-CN"/>
        </w:rPr>
        <w:t>1203.07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1153.28万</w:t>
      </w:r>
      <w:r>
        <w:rPr>
          <w:rFonts w:hint="eastAsia" w:ascii="Times New Roman" w:hAnsi="Times New Roman" w:eastAsia="仿宋_GB2312"/>
          <w:color w:val="auto"/>
          <w:sz w:val="32"/>
          <w:szCs w:val="32"/>
        </w:rPr>
        <w:t>元，完成年初预算的</w:t>
      </w:r>
      <w:r>
        <w:rPr>
          <w:rFonts w:hint="eastAsia" w:ascii="Times New Roman" w:hAnsi="Times New Roman" w:eastAsia="仿宋_GB2312"/>
          <w:color w:val="auto"/>
          <w:sz w:val="32"/>
          <w:szCs w:val="32"/>
          <w:lang w:val="en-US" w:eastAsia="zh-CN"/>
        </w:rPr>
        <w:t>95.86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人员异动等原因产生差额</w:t>
      </w:r>
      <w:r>
        <w:rPr>
          <w:rFonts w:hint="eastAsia" w:ascii="Times New Roman" w:hAnsi="Times New Roman" w:eastAsia="仿宋_GB2312"/>
          <w:color w:val="auto"/>
          <w:sz w:val="32"/>
          <w:szCs w:val="32"/>
        </w:rPr>
        <w:t>。</w:t>
      </w:r>
    </w:p>
    <w:p w14:paraId="18455209">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、一般公共服务（类）市场监督管理事务（款）食品安全监管（项）。年初预算为0万元，支出决算为</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万元，决算数大于年初预算数的主要原因是：省级追加中央食品监管补助资金。</w:t>
      </w:r>
    </w:p>
    <w:p w14:paraId="5B587A3F">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、一般公共服务（类）市场监督管理事务（款）其他市场监督管理事务（项）。年初预算为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123.45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 xml:space="preserve"> 205.75</w:t>
      </w:r>
      <w:r>
        <w:rPr>
          <w:rFonts w:hint="eastAsia" w:ascii="Times New Roman" w:hAnsi="Times New Roman" w:eastAsia="仿宋_GB2312"/>
          <w:color w:val="auto"/>
          <w:sz w:val="32"/>
          <w:szCs w:val="32"/>
        </w:rPr>
        <w:t>%，决算数与年初预算数不一致的原因：一是追加省级市场监管经费；二是执法办案经费</w:t>
      </w:r>
      <w:r>
        <w:rPr>
          <w:rFonts w:hint="eastAsia" w:ascii="Times New Roman" w:hAnsi="Times New Roman" w:eastAsia="仿宋_GB2312"/>
          <w:color w:val="auto"/>
          <w:sz w:val="32"/>
          <w:szCs w:val="32"/>
          <w:lang w:val="en-US" w:eastAsia="zh-CN"/>
        </w:rPr>
        <w:t>增加</w:t>
      </w:r>
      <w:r>
        <w:rPr>
          <w:rFonts w:hint="eastAsia" w:ascii="Times New Roman" w:hAnsi="Times New Roman" w:eastAsia="仿宋_GB2312"/>
          <w:color w:val="auto"/>
          <w:sz w:val="32"/>
          <w:szCs w:val="32"/>
        </w:rPr>
        <w:t>。</w:t>
      </w:r>
    </w:p>
    <w:p w14:paraId="2DA35FBD">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支出（类）行政事业单位养老支出（款）机关事业单位基本养老保险缴费支出（项）。年初预算为</w:t>
      </w:r>
      <w:r>
        <w:rPr>
          <w:rFonts w:hint="eastAsia" w:ascii="Times New Roman" w:hAnsi="Times New Roman" w:eastAsia="仿宋_GB2312"/>
          <w:color w:val="auto"/>
          <w:sz w:val="32"/>
          <w:szCs w:val="32"/>
          <w:lang w:val="en-US" w:eastAsia="zh-CN"/>
        </w:rPr>
        <w:t>133.75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133.75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年初预算数的原因是：</w:t>
      </w:r>
      <w:r>
        <w:rPr>
          <w:rFonts w:hint="eastAsia" w:ascii="Times New Roman" w:hAnsi="Times New Roman" w:eastAsia="仿宋_GB2312"/>
          <w:color w:val="auto"/>
          <w:sz w:val="32"/>
          <w:szCs w:val="32"/>
          <w:lang w:val="en-US" w:eastAsia="zh-CN"/>
        </w:rPr>
        <w:t>当年无</w:t>
      </w:r>
      <w:r>
        <w:rPr>
          <w:rFonts w:hint="eastAsia" w:ascii="Times New Roman" w:hAnsi="Times New Roman" w:eastAsia="仿宋_GB2312"/>
          <w:color w:val="auto"/>
          <w:sz w:val="32"/>
          <w:szCs w:val="32"/>
        </w:rPr>
        <w:t>人员异动等原因产生差额。</w:t>
      </w:r>
    </w:p>
    <w:p w14:paraId="59DFDB0C">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支出（类）行政事业单位养老支出（款）其他知识产权事务支出（项）。年初预算为0万元，支出决算为</w:t>
      </w:r>
      <w:r>
        <w:rPr>
          <w:rFonts w:hint="eastAsia" w:ascii="Times New Roman" w:hAnsi="Times New Roman" w:eastAsia="仿宋_GB2312"/>
          <w:color w:val="auto"/>
          <w:sz w:val="32"/>
          <w:szCs w:val="32"/>
          <w:lang w:val="en-US" w:eastAsia="zh-CN"/>
        </w:rPr>
        <w:t>40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省级专项资金对企业的补助资金</w:t>
      </w:r>
      <w:r>
        <w:rPr>
          <w:rFonts w:hint="eastAsia" w:ascii="Times New Roman" w:hAnsi="Times New Roman" w:eastAsia="仿宋_GB2312"/>
          <w:color w:val="auto"/>
          <w:sz w:val="32"/>
          <w:szCs w:val="32"/>
        </w:rPr>
        <w:t>。</w:t>
      </w:r>
    </w:p>
    <w:p w14:paraId="5AB3B7CA">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社会保障和就业</w:t>
      </w:r>
      <w:r>
        <w:rPr>
          <w:rFonts w:hint="eastAsia" w:ascii="Times New Roman" w:hAnsi="Times New Roman" w:eastAsia="仿宋_GB2312"/>
          <w:color w:val="auto"/>
          <w:sz w:val="32"/>
          <w:szCs w:val="32"/>
        </w:rPr>
        <w:t>支出（类）抚恤（款）死亡抚恤（项）。年初预算为0万元，支出决算为</w:t>
      </w:r>
      <w:r>
        <w:rPr>
          <w:rFonts w:hint="eastAsia" w:ascii="Times New Roman" w:hAnsi="Times New Roman" w:eastAsia="仿宋_GB2312"/>
          <w:color w:val="auto"/>
          <w:sz w:val="32"/>
          <w:szCs w:val="32"/>
          <w:lang w:val="en-US" w:eastAsia="zh-CN"/>
        </w:rPr>
        <w:t>41.1</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万元，决算数大于年初预算数的主要原因是：依据政策和当年实际情况追加经费。</w:t>
      </w:r>
    </w:p>
    <w:p w14:paraId="32DED7B6">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、卫生健康支出（类）行政事业单位医疗（款）行政单位医疗（项）。年初预算为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56.4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bookmarkStart w:id="0" w:name="OLE_LINK4"/>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等于</w:t>
      </w:r>
      <w:r>
        <w:rPr>
          <w:rFonts w:hint="eastAsia" w:ascii="Times New Roman" w:hAnsi="Times New Roman" w:eastAsia="仿宋_GB2312"/>
          <w:color w:val="auto"/>
          <w:sz w:val="32"/>
          <w:szCs w:val="32"/>
        </w:rPr>
        <w:t>年初预算数的原因是：</w:t>
      </w:r>
      <w:r>
        <w:rPr>
          <w:rFonts w:hint="eastAsia" w:ascii="Times New Roman" w:hAnsi="Times New Roman" w:eastAsia="仿宋_GB2312"/>
          <w:color w:val="auto"/>
          <w:sz w:val="32"/>
          <w:szCs w:val="32"/>
          <w:lang w:val="en-US" w:eastAsia="zh-CN"/>
        </w:rPr>
        <w:t>当年无</w:t>
      </w:r>
      <w:r>
        <w:rPr>
          <w:rFonts w:hint="eastAsia" w:ascii="Times New Roman" w:hAnsi="Times New Roman" w:eastAsia="仿宋_GB2312"/>
          <w:color w:val="auto"/>
          <w:sz w:val="32"/>
          <w:szCs w:val="32"/>
        </w:rPr>
        <w:t>人员异动等原因产生差额。</w:t>
      </w:r>
    </w:p>
    <w:bookmarkEnd w:id="0"/>
    <w:p w14:paraId="170AE898">
      <w:pPr>
        <w:pStyle w:val="16"/>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、卫生健康支出（类）行政事业单位医疗（款）公务员医疗补助（项）。年初预算为0万元，支出决算为</w:t>
      </w:r>
      <w:r>
        <w:rPr>
          <w:rFonts w:hint="eastAsia" w:ascii="Times New Roman" w:hAnsi="Times New Roman" w:eastAsia="仿宋_GB2312"/>
          <w:color w:val="auto"/>
          <w:sz w:val="32"/>
          <w:szCs w:val="32"/>
          <w:lang w:val="en-US" w:eastAsia="zh-CN"/>
        </w:rPr>
        <w:t>12.6</w:t>
      </w:r>
      <w:r>
        <w:rPr>
          <w:rFonts w:hint="default"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万元，决算数大于年初预算数的主要原因是：依据相关政策和当年实际追加公务员医疗费二次报销经费。</w:t>
      </w:r>
    </w:p>
    <w:p w14:paraId="34551960">
      <w:pPr>
        <w:pStyle w:val="16"/>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、住房保障支出（类）住房改革支出（款）住房公积金（项）。年初预算为</w:t>
      </w:r>
      <w:r>
        <w:rPr>
          <w:rFonts w:hint="eastAsia" w:ascii="Times New Roman" w:hAnsi="Times New Roman" w:eastAsia="仿宋_GB2312"/>
          <w:color w:val="auto"/>
          <w:sz w:val="32"/>
          <w:szCs w:val="32"/>
          <w:lang w:val="en-US" w:eastAsia="zh-CN"/>
        </w:rPr>
        <w:t>113.42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112.4</w:t>
      </w:r>
      <w:r>
        <w:rPr>
          <w:rFonts w:hint="eastAsia" w:ascii="Times New Roman" w:hAnsi="Times New Roman" w:eastAsia="仿宋_GB2312"/>
          <w:color w:val="auto"/>
          <w:sz w:val="32"/>
          <w:szCs w:val="32"/>
        </w:rPr>
        <w:t>万元，决算数小于年初预算数的原因是：</w:t>
      </w:r>
      <w:r>
        <w:rPr>
          <w:rFonts w:hint="eastAsia" w:ascii="Times New Roman" w:hAnsi="Times New Roman" w:eastAsia="仿宋_GB2312"/>
          <w:color w:val="auto"/>
          <w:sz w:val="32"/>
          <w:szCs w:val="32"/>
          <w:lang w:val="en-US" w:eastAsia="zh-CN"/>
        </w:rPr>
        <w:t>调整公积金基数</w:t>
      </w:r>
      <w:r>
        <w:rPr>
          <w:rFonts w:hint="eastAsia" w:ascii="Times New Roman" w:hAnsi="Times New Roman" w:eastAsia="仿宋_GB2312"/>
          <w:color w:val="auto"/>
          <w:sz w:val="32"/>
          <w:szCs w:val="32"/>
        </w:rPr>
        <w:t>产生差额。</w:t>
      </w:r>
    </w:p>
    <w:p w14:paraId="4CBE04DE">
      <w:pPr>
        <w:pStyle w:val="16"/>
        <w:spacing w:line="600" w:lineRule="exact"/>
        <w:ind w:firstLine="640" w:firstLineChars="200"/>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一般公共服务（类）市场监督管理事务（款）</w:t>
      </w:r>
      <w:r>
        <w:rPr>
          <w:rFonts w:hint="eastAsia" w:ascii="Times New Roman" w:hAnsi="Times New Roman" w:eastAsia="仿宋_GB2312"/>
          <w:color w:val="auto"/>
          <w:sz w:val="32"/>
          <w:szCs w:val="32"/>
          <w:lang w:val="en-US" w:eastAsia="zh-CN"/>
        </w:rPr>
        <w:t>药品事务</w:t>
      </w:r>
      <w:r>
        <w:rPr>
          <w:rFonts w:hint="eastAsia" w:ascii="Times New Roman" w:hAnsi="Times New Roman" w:eastAsia="仿宋_GB2312"/>
          <w:color w:val="auto"/>
          <w:sz w:val="32"/>
          <w:szCs w:val="32"/>
        </w:rPr>
        <w:t>（项）。年初预算为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4.64</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val="en-US" w:eastAsia="zh-CN"/>
        </w:rPr>
        <w:t>大于</w:t>
      </w:r>
      <w:r>
        <w:rPr>
          <w:rFonts w:hint="eastAsia" w:ascii="Times New Roman" w:hAnsi="Times New Roman" w:eastAsia="仿宋_GB2312"/>
          <w:color w:val="auto"/>
          <w:sz w:val="32"/>
          <w:szCs w:val="32"/>
        </w:rPr>
        <w:t>年初预算数的原因：依据政策和当年实际情况追加经费。</w:t>
      </w:r>
    </w:p>
    <w:p w14:paraId="2D39F85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C56829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1509.63</w:t>
      </w:r>
      <w:r>
        <w:rPr>
          <w:rFonts w:hint="eastAsia" w:ascii="Times New Roman" w:hAnsi="Times New Roman" w:eastAsia="仿宋_GB2312"/>
          <w:sz w:val="32"/>
          <w:szCs w:val="32"/>
        </w:rPr>
        <w:t>万元，其中：</w:t>
      </w:r>
    </w:p>
    <w:p w14:paraId="46C522A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人员经费1267.60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83.97</w:t>
      </w:r>
      <w:r>
        <w:rPr>
          <w:rFonts w:hint="eastAsia" w:ascii="Times New Roman" w:hAnsi="Times New Roman" w:eastAsia="仿宋_GB2312"/>
          <w:sz w:val="32"/>
          <w:szCs w:val="32"/>
        </w:rPr>
        <w:t>%,主要包括基本工资、津贴补贴、奖金、绩效工资、机关事业单位基本养老保险缴费、职工基本医疗保险缴费、公务员医疗补助缴费、其他社会保障缴费、住房公积金、其他工资福利支出、生活补助、其他对个人和家庭的补助等。</w:t>
      </w:r>
    </w:p>
    <w:p w14:paraId="2032076D">
      <w:pPr>
        <w:pStyle w:val="16"/>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242.03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16.03</w:t>
      </w:r>
      <w:r>
        <w:rPr>
          <w:rFonts w:hint="eastAsia" w:ascii="Times New Roman" w:hAnsi="Times New Roman" w:eastAsia="仿宋_GB2312"/>
          <w:sz w:val="32"/>
          <w:szCs w:val="32"/>
        </w:rPr>
        <w:t>%，主要包括办公费、印刷费、咨询费、手续费、水电费、邮电费、物业管理费、差旅费、维修（护）费、租赁费、会议费、培训费、公务接待费、专用材料费、劳务费、委托业务费、工会经费、福利费、公车运行维护费、其他交通费用、其他商品和服务支出、办公设备购置费、专用设备购置费等。</w:t>
      </w:r>
    </w:p>
    <w:p w14:paraId="4BEE56EA">
      <w:pPr>
        <w:pStyle w:val="16"/>
        <w:numPr>
          <w:ilvl w:val="0"/>
          <w:numId w:val="0"/>
        </w:numPr>
        <w:overflowPunct w:val="0"/>
        <w:autoSpaceDE/>
        <w:autoSpaceDN/>
        <w:spacing w:line="600" w:lineRule="exact"/>
        <w:ind w:leftChars="200" w:firstLine="320" w:firstLineChars="1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七、</w:t>
      </w:r>
      <w:r>
        <w:rPr>
          <w:rFonts w:ascii="Times New Roman" w:hAnsi="Times New Roman" w:cs="Times New Roman"/>
          <w:bCs/>
          <w:sz w:val="32"/>
          <w:szCs w:val="32"/>
        </w:rPr>
        <w:t>财政拨款“三公”经费支出决算情况说明</w:t>
      </w:r>
    </w:p>
    <w:p w14:paraId="5E2F4572">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3E1783C">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58.51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37.78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接待费用支出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接待费用支出减少</w:t>
      </w:r>
      <w:r>
        <w:rPr>
          <w:rFonts w:ascii="Times New Roman" w:hAnsi="Times New Roman" w:eastAsia="仿宋_GB2312" w:cs="Times New Roman"/>
          <w:sz w:val="32"/>
          <w:szCs w:val="32"/>
        </w:rPr>
        <w:t>。</w:t>
      </w:r>
    </w:p>
    <w:p w14:paraId="3965009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414F4E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2024年度我单位未开展因公出国（境）活动。</w:t>
      </w:r>
    </w:p>
    <w:p w14:paraId="18A6D3A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37.59</w:t>
      </w:r>
      <w:r>
        <w:rPr>
          <w:rFonts w:ascii="Times New Roman" w:hAnsi="Times New Roman" w:eastAsia="仿宋_GB2312" w:cs="Times New Roman"/>
          <w:sz w:val="32"/>
          <w:szCs w:val="32"/>
        </w:rPr>
        <w:t>%。其中：</w:t>
      </w:r>
    </w:p>
    <w:p w14:paraId="6C3AA986">
      <w:pPr>
        <w:pStyle w:val="16"/>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万元，与上年一致。</w:t>
      </w:r>
      <w:r>
        <w:rPr>
          <w:rFonts w:hint="eastAsia" w:ascii="Times New Roman" w:hAnsi="Times New Roman" w:eastAsia="仿宋_GB2312"/>
          <w:sz w:val="32"/>
          <w:szCs w:val="32"/>
          <w:lang w:val="en-US" w:eastAsia="zh-CN"/>
        </w:rPr>
        <w:t>本单位无更新公务用车。</w:t>
      </w:r>
    </w:p>
    <w:p w14:paraId="3413134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w:t>
      </w:r>
    </w:p>
    <w:p w14:paraId="34AC367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公务用车油费、车辆保险、车检、过路费、停车费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10.84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辆。</w:t>
      </w:r>
    </w:p>
    <w:p w14:paraId="6BA3B28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28.67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44.87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严格执行中央八项规定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费用支出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根据文件要求接待减少，费用减少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上级单位指导工作</w:t>
      </w:r>
      <w:r>
        <w:rPr>
          <w:rFonts w:ascii="Times New Roman" w:hAnsi="Times New Roman" w:eastAsia="仿宋_GB2312" w:cs="Times New Roman"/>
          <w:sz w:val="32"/>
          <w:szCs w:val="32"/>
        </w:rPr>
        <w:t>发生的接待支出。</w:t>
      </w:r>
    </w:p>
    <w:p w14:paraId="7849CFB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1892115">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2024年度本单位无政府性基金收支。</w:t>
      </w:r>
    </w:p>
    <w:p w14:paraId="5FF921A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155182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242.03</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15.87</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6.15</w:t>
      </w:r>
      <w:r>
        <w:rPr>
          <w:rFonts w:hint="eastAsia" w:ascii="Times New Roman" w:hAnsi="Times New Roman" w:eastAsia="仿宋_GB2312"/>
          <w:sz w:val="32"/>
          <w:szCs w:val="32"/>
        </w:rPr>
        <w:t>%。主要原因是：一是实行“一体化”核算之后科目使用较以前更规范；二是本年度</w:t>
      </w:r>
      <w:r>
        <w:rPr>
          <w:rFonts w:hint="eastAsia" w:ascii="Times New Roman" w:hAnsi="Times New Roman" w:eastAsia="仿宋_GB2312"/>
          <w:sz w:val="32"/>
          <w:szCs w:val="32"/>
          <w:lang w:eastAsia="zh-CN"/>
        </w:rPr>
        <w:t>我单位为一级预算单位</w:t>
      </w:r>
      <w:r>
        <w:rPr>
          <w:rFonts w:hint="eastAsia" w:ascii="Times New Roman" w:hAnsi="Times New Roman" w:eastAsia="仿宋_GB2312"/>
          <w:sz w:val="32"/>
          <w:szCs w:val="32"/>
        </w:rPr>
        <w:t>。</w:t>
      </w:r>
    </w:p>
    <w:p w14:paraId="2664E02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046938C">
      <w:pPr>
        <w:pStyle w:val="16"/>
        <w:overflowPunct w:val="0"/>
        <w:autoSpaceDE/>
        <w:autoSpaceDN/>
        <w:spacing w:line="600" w:lineRule="exact"/>
        <w:ind w:firstLine="640" w:firstLineChars="200"/>
        <w:jc w:val="both"/>
        <w:rPr>
          <w:rFonts w:hint="eastAsia" w:ascii="Times New Roman" w:hAnsi="Times New Roman" w:cs="Times New Roman"/>
          <w:bCs/>
          <w:color w:val="C0504D" w:themeColor="accent2"/>
          <w:sz w:val="32"/>
          <w:szCs w:val="32"/>
          <w:lang w:val="en-US" w:eastAsia="zh-CN"/>
          <w14:textFill>
            <w14:solidFill>
              <w14:schemeClr w14:val="accent2"/>
            </w14:solidFill>
          </w14:textFill>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2024年本单位未在外租场地开展会议，故无会议费开支。</w:t>
      </w:r>
      <w:r>
        <w:rPr>
          <w:rFonts w:hint="eastAsia" w:ascii="Times New Roman" w:hAnsi="Times New Roman" w:eastAsia="仿宋_GB2312" w:cs="Times New Roman"/>
          <w:color w:val="auto"/>
          <w:sz w:val="32"/>
          <w:szCs w:val="32"/>
          <w:lang w:val="en-US" w:eastAsia="zh-CN"/>
        </w:rPr>
        <w:t>2024年本单位未</w:t>
      </w:r>
      <w:r>
        <w:rPr>
          <w:rFonts w:ascii="Times New Roman" w:hAnsi="Times New Roman" w:eastAsia="仿宋_GB2312" w:cs="Times New Roman"/>
          <w:color w:val="auto"/>
          <w:sz w:val="32"/>
          <w:szCs w:val="32"/>
        </w:rPr>
        <w:t>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415D9680">
      <w:pPr>
        <w:pStyle w:val="16"/>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十一、关于政府采购支出说明</w:t>
      </w:r>
    </w:p>
    <w:p w14:paraId="764295C6">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sz w:val="32"/>
          <w:szCs w:val="32"/>
          <w:lang w:val="en-US" w:eastAsia="zh-CN"/>
        </w:rPr>
        <w:t>126.54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sz w:val="32"/>
          <w:szCs w:val="32"/>
          <w:lang w:val="en-US" w:eastAsia="zh-CN"/>
        </w:rPr>
        <w:t>33.59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78.25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126.54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126.54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26.54</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11.62</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61.84</w:t>
      </w:r>
      <w:r>
        <w:rPr>
          <w:rFonts w:ascii="Times New Roman" w:hAnsi="Times New Roman" w:eastAsia="仿宋_GB2312" w:cs="Times New Roman"/>
          <w:color w:val="auto"/>
          <w:sz w:val="32"/>
          <w:szCs w:val="32"/>
        </w:rPr>
        <w:t>%。</w:t>
      </w:r>
    </w:p>
    <w:p w14:paraId="0A8E4399">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1DCA93A">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6F17EDF">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41DA4B0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6710AE8A">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49263E83">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756C9BA7">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p>
    <w:p w14:paraId="733BB10E">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FE98E6">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sz w:val="32"/>
          <w:szCs w:val="32"/>
          <w:lang w:val="en-US" w:eastAsia="zh-CN"/>
        </w:rPr>
        <w:t>173.1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sz w:val="32"/>
          <w:szCs w:val="32"/>
          <w:lang w:val="en-US" w:eastAsia="zh-CN"/>
        </w:rPr>
        <w:t>173.1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10.29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903E36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二是部门评价开展情况（如有，一级预算部门填写）。</w:t>
      </w:r>
    </w:p>
    <w:p w14:paraId="5C23564A">
      <w:pPr>
        <w:pStyle w:val="2"/>
        <w:rPr>
          <w:rFonts w:ascii="Times New Roman" w:hAnsi="Times New Roman" w:eastAsia="仿宋_GB2312" w:cs="Times New Roman"/>
          <w:kern w:val="0"/>
          <w:sz w:val="32"/>
          <w:szCs w:val="32"/>
        </w:rPr>
      </w:pPr>
    </w:p>
    <w:p w14:paraId="0A16E279"/>
    <w:p w14:paraId="46407BD2">
      <w:pPr>
        <w:numPr>
          <w:ilvl w:val="0"/>
          <w:numId w:val="1"/>
        </w:numPr>
        <w:overflowPunct w:val="0"/>
        <w:spacing w:line="600" w:lineRule="exact"/>
        <w:ind w:left="0" w:leftChars="0"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512567E1">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一是绩效自评结果。</w:t>
      </w:r>
    </w:p>
    <w:p w14:paraId="669AF082">
      <w:pPr>
        <w:pageBreakBefore w:val="0"/>
        <w:kinsoku/>
        <w:wordWrap/>
        <w:overflowPunct/>
        <w:topLinePunct w:val="0"/>
        <w:bidi w:val="0"/>
        <w:snapToGrid w:val="0"/>
        <w:spacing w:line="240" w:lineRule="auto"/>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仿宋_GB2312" w:eastAsia="仿宋_GB2312"/>
          <w:sz w:val="32"/>
          <w:szCs w:val="32"/>
          <w:lang w:val="en-US" w:eastAsia="zh-CN"/>
        </w:rPr>
        <w:t>1740.13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1682.73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96.70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p>
    <w:p w14:paraId="749CA0D5">
      <w:pPr>
        <w:pageBreakBefore w:val="0"/>
        <w:kinsoku/>
        <w:wordWrap/>
        <w:overflowPunct/>
        <w:topLinePunct w:val="0"/>
        <w:bidi w:val="0"/>
        <w:snapToGrid w:val="0"/>
        <w:spacing w:line="240" w:lineRule="auto"/>
        <w:ind w:firstLine="640" w:firstLineChars="200"/>
        <w:jc w:val="both"/>
        <w:textAlignment w:val="auto"/>
        <w:rPr>
          <w:rFonts w:hint="eastAsia" w:ascii="仿宋_GB2312" w:hAnsi="仿宋" w:eastAsia="仿宋_GB2312"/>
          <w:sz w:val="32"/>
          <w:szCs w:val="32"/>
          <w:u w:val="none"/>
          <w:lang w:val="en-US" w:eastAsia="zh-CN"/>
        </w:rPr>
      </w:pPr>
      <w:r>
        <w:rPr>
          <w:rFonts w:ascii="Times New Roman" w:hAnsi="Times New Roman" w:eastAsia="仿宋_GB2312" w:cs="Times New Roman"/>
          <w:sz w:val="32"/>
          <w:szCs w:val="32"/>
        </w:rPr>
        <w:t>绩效目标完成情况：一是</w:t>
      </w:r>
      <w:r>
        <w:rPr>
          <w:rFonts w:hint="eastAsia" w:ascii="仿宋_GB2312" w:hAnsi="仿宋" w:eastAsia="仿宋_GB2312"/>
          <w:sz w:val="32"/>
          <w:szCs w:val="32"/>
          <w:u w:val="none"/>
          <w:lang w:val="en-US" w:eastAsia="zh-CN"/>
        </w:rPr>
        <w:t>本单位资金的拨付有完整的审批过程和手续，支出一定程度上符合部门预算批复的用途，资金使用无截留、挤占、挪用、虚列支出等情况。二是本单位2024年度预算信息及时网上公开，本单位基础数据信息和会计信息资料真实、完整，基础数据信息和汇集信息资料准确。非税收入未存在违纪行为，非税任务超额完成。三是延续上年忠诚履职、强化安全监管的监管制度，继续开展专项行动和相关宣传活动，加大稽查打假力度，强化食品药品监督抽验，有力保障了全区人民的饮食用药安全，确保了全年未发生群体性食品药品安全事故。</w:t>
      </w:r>
    </w:p>
    <w:p w14:paraId="1037D6E8">
      <w:pPr>
        <w:pageBreakBefore w:val="0"/>
        <w:kinsoku/>
        <w:wordWrap/>
        <w:overflowPunct/>
        <w:topLinePunct w:val="0"/>
        <w:bidi w:val="0"/>
        <w:snapToGrid w:val="0"/>
        <w:spacing w:line="240" w:lineRule="auto"/>
        <w:ind w:firstLine="640" w:firstLineChars="200"/>
        <w:jc w:val="both"/>
        <w:textAlignment w:val="auto"/>
        <w:rPr>
          <w:rFonts w:hint="eastAsia" w:ascii="仿宋_GB2312" w:hAnsi="仿宋" w:eastAsia="仿宋_GB2312" w:cs="Times New Roman"/>
          <w:sz w:val="32"/>
          <w:szCs w:val="32"/>
          <w:u w:val="none"/>
          <w:lang w:val="en-US" w:eastAsia="zh-CN"/>
        </w:rPr>
      </w:pPr>
      <w:r>
        <w:rPr>
          <w:rFonts w:ascii="Times New Roman" w:hAnsi="Times New Roman" w:eastAsia="仿宋_GB2312" w:cs="Times New Roman"/>
          <w:sz w:val="32"/>
          <w:szCs w:val="32"/>
        </w:rPr>
        <w:t>发现的主要问题及原因：</w:t>
      </w:r>
      <w:r>
        <w:rPr>
          <w:rFonts w:hint="eastAsia" w:ascii="仿宋_GB2312" w:hAnsi="仿宋" w:eastAsia="仿宋_GB2312" w:cs="Times New Roman"/>
          <w:sz w:val="32"/>
          <w:szCs w:val="32"/>
          <w:u w:val="none"/>
          <w:lang w:val="en-US" w:eastAsia="zh-CN"/>
        </w:rPr>
        <w:t>一是资金投入不足，监管需求难满足。食品药品监督管理部门的监管任务繁重，点多，面广，难度大，监管资金投入没有与所承担的监管责任成正比。二是监管能力不足，监管效率急需提升。我局监管工作范围扩大，监管工作经费却没有相应增加，专业人员少，在面对沉重的监管压力，有限的监管力量显得有点力不从心。三是资金拨付滞后。预算内资金、项目资金分别于年中、年底才拨付到位或未拨付，对食品药品安全监管工作开展有一定的影响。</w:t>
      </w:r>
    </w:p>
    <w:p w14:paraId="55CB1852">
      <w:pPr>
        <w:pageBreakBefore w:val="0"/>
        <w:kinsoku/>
        <w:wordWrap/>
        <w:overflowPunct/>
        <w:topLinePunct w:val="0"/>
        <w:bidi w:val="0"/>
        <w:snapToGrid w:val="0"/>
        <w:spacing w:line="240" w:lineRule="auto"/>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下一步改进措施：一是</w:t>
      </w:r>
      <w:r>
        <w:rPr>
          <w:rFonts w:hint="eastAsia" w:ascii="仿宋_GB2312" w:hAnsi="仿宋" w:eastAsia="仿宋_GB2312" w:cs="Times New Roman"/>
          <w:sz w:val="32"/>
          <w:szCs w:val="32"/>
          <w:u w:val="none"/>
          <w:lang w:val="en-US" w:eastAsia="zh-CN"/>
        </w:rPr>
        <w:t>结合上一年度预算执行情况和本年度预算收支变化因素，科学、合理地编制本年预算草案，避免项目支出与基本支出划分不准或预算支出与实际执行出现较大偏差的情况</w:t>
      </w:r>
      <w:r>
        <w:rPr>
          <w:rFonts w:ascii="Times New Roman" w:hAnsi="Times New Roman" w:eastAsia="仿宋_GB2312" w:cs="Times New Roman"/>
          <w:sz w:val="32"/>
          <w:szCs w:val="32"/>
        </w:rPr>
        <w:t>；二是</w:t>
      </w:r>
      <w:r>
        <w:rPr>
          <w:rFonts w:hint="eastAsia" w:ascii="仿宋_GB2312" w:hAnsi="仿宋" w:eastAsia="仿宋_GB2312" w:cs="Times New Roman"/>
          <w:sz w:val="32"/>
          <w:szCs w:val="32"/>
          <w:u w:val="none"/>
          <w:lang w:val="en-US" w:eastAsia="zh-CN"/>
        </w:rPr>
        <w:t>规范账务处理，提高财务信息质量。严格按照《会计法》、《政府会计制度》等规定执行财务核算，并结合实际情况，完整、准确地披露相关信息，尽可能地做到决算与预算相衔接；三是通过不断完善管理制度，进一步加强资产管理。进一步贯彻落实中央八项规定建立本部门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四是加强政府会计制度和预算法学习培训。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ascii="Times New Roman" w:hAnsi="Times New Roman" w:eastAsia="仿宋_GB2312" w:cs="Times New Roman"/>
          <w:sz w:val="32"/>
          <w:szCs w:val="32"/>
        </w:rPr>
        <w:t>。</w:t>
      </w:r>
    </w:p>
    <w:p w14:paraId="0AFA714F">
      <w:pPr>
        <w:pStyle w:val="16"/>
        <w:numPr>
          <w:ilvl w:val="0"/>
          <w:numId w:val="1"/>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166E8F5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单位严格按政策规定及本部门的发展规划，科学合理编制预算，严格执行预算。结合上一年度预算执行情况和本年度预算收支变化因素，科学、合理地编制本年预算草案，避免项目支出与基本支出划分不准或预算支出与实际执行出现较大偏差的情况。</w:t>
      </w:r>
    </w:p>
    <w:p w14:paraId="5CDEC15C">
      <w:pPr>
        <w:pStyle w:val="16"/>
        <w:jc w:val="center"/>
        <w:rPr>
          <w:rFonts w:ascii="Times New Roman" w:hAnsi="Times New Roman" w:cs="Times New Roman"/>
          <w:sz w:val="72"/>
          <w:szCs w:val="72"/>
        </w:rPr>
      </w:pPr>
    </w:p>
    <w:p w14:paraId="6227BC51">
      <w:pPr>
        <w:pStyle w:val="16"/>
        <w:jc w:val="center"/>
        <w:rPr>
          <w:rFonts w:ascii="Times New Roman" w:hAnsi="Times New Roman" w:cs="Times New Roman"/>
          <w:sz w:val="72"/>
          <w:szCs w:val="72"/>
        </w:rPr>
      </w:pPr>
      <w:r>
        <w:rPr>
          <w:rFonts w:ascii="Times New Roman" w:hAnsi="Times New Roman" w:cs="Times New Roman"/>
          <w:sz w:val="72"/>
          <w:szCs w:val="72"/>
        </w:rPr>
        <w:br w:type="column"/>
      </w:r>
    </w:p>
    <w:p w14:paraId="2A7553C9">
      <w:pPr>
        <w:pStyle w:val="16"/>
        <w:jc w:val="both"/>
        <w:rPr>
          <w:rFonts w:ascii="Times New Roman" w:hAnsi="Times New Roman" w:cs="Times New Roman"/>
          <w:sz w:val="72"/>
          <w:szCs w:val="72"/>
        </w:rPr>
      </w:pPr>
    </w:p>
    <w:p w14:paraId="3ED27FF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CEA6E6A">
      <w:pPr>
        <w:widowControl/>
        <w:jc w:val="left"/>
        <w:rPr>
          <w:rFonts w:ascii="Times New Roman" w:hAnsi="Times New Roman" w:cs="Times New Roman"/>
          <w:color w:val="000000"/>
          <w:kern w:val="0"/>
          <w:sz w:val="32"/>
          <w:szCs w:val="32"/>
        </w:rPr>
      </w:pPr>
    </w:p>
    <w:p w14:paraId="62F79F7D">
      <w:pPr>
        <w:numPr>
          <w:ilvl w:val="0"/>
          <w:numId w:val="4"/>
        </w:num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基本支出：指为保障机构正常运转、完成日常工作任务而发生的各项支出，包括人员支出和公用支出。</w:t>
      </w:r>
    </w:p>
    <w:p w14:paraId="2D620A02">
      <w:pPr>
        <w:numPr>
          <w:ilvl w:val="0"/>
          <w:numId w:val="4"/>
        </w:numPr>
        <w:ind w:left="0" w:leftChars="0"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项目支出：指在基本支出以外为完成相关执行任务和事业发展目标所发生的各项支出。</w:t>
      </w:r>
    </w:p>
    <w:p w14:paraId="35F9E3C6">
      <w:pPr>
        <w:numPr>
          <w:ilvl w:val="0"/>
          <w:numId w:val="4"/>
        </w:numPr>
        <w:ind w:left="0" w:leftChars="0" w:firstLine="640" w:firstLineChars="200"/>
        <w:jc w:val="left"/>
        <w:rPr>
          <w:rFonts w:hint="eastAsia" w:cs="黑体" w:asciiTheme="minorEastAsia" w:hAnsiTheme="minorEastAsia" w:eastAsiaTheme="minorEastAsia"/>
          <w:color w:val="000000"/>
          <w:kern w:val="0"/>
          <w:sz w:val="32"/>
          <w:szCs w:val="32"/>
          <w:lang w:eastAsia="zh-CN"/>
        </w:rPr>
      </w:pPr>
      <w:r>
        <w:rPr>
          <w:rFonts w:hint="eastAsia" w:cs="黑体" w:asciiTheme="minorEastAsia" w:hAnsiTheme="minorEastAsia"/>
          <w:color w:val="000000"/>
          <w:kern w:val="0"/>
          <w:sz w:val="32"/>
          <w:szCs w:val="32"/>
        </w:rPr>
        <w:t>“三公”经费：指通过财政拨款资金安排的因公出国（境）费、公务用车购置及运行费和公务接待费支出。往年为一般公共预算财政拨款口径，今年为财政拨款口径</w:t>
      </w:r>
      <w:r>
        <w:rPr>
          <w:rFonts w:hint="eastAsia" w:cs="黑体" w:asciiTheme="minorEastAsia" w:hAnsiTheme="minorEastAsia"/>
          <w:color w:val="000000"/>
          <w:kern w:val="0"/>
          <w:sz w:val="32"/>
          <w:szCs w:val="32"/>
          <w:lang w:eastAsia="zh-CN"/>
        </w:rPr>
        <w:t>。</w:t>
      </w:r>
    </w:p>
    <w:p w14:paraId="784B72A8">
      <w:pPr>
        <w:numPr>
          <w:ilvl w:val="0"/>
          <w:numId w:val="4"/>
        </w:numPr>
        <w:ind w:left="0" w:leftChars="0"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机关运行经费：是指各部门的公用经费，包括办公费、印刷费、邮电费、差旅费、会议费、福利费、日常维修费、专用材料及一般设备购置费、办公用房水电费、办公用房物业管理费、公务用车运行维护费以及其他费用。 </w:t>
      </w:r>
    </w:p>
    <w:p w14:paraId="14DF54CD">
      <w:pPr>
        <w:numPr>
          <w:ilvl w:val="0"/>
          <w:numId w:val="4"/>
        </w:numPr>
        <w:ind w:left="0" w:leftChars="0"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政府采购金额的计算口径为：本部门纳入2022年度部门预算范围的各项政府采购支出金额之和，不包括涉密采购项目的支出金额。</w:t>
      </w:r>
    </w:p>
    <w:p w14:paraId="48705C15">
      <w:pPr>
        <w:pStyle w:val="16"/>
        <w:ind w:firstLine="640" w:firstLineChars="200"/>
        <w:rPr>
          <w:rFonts w:ascii="Times New Roman" w:hAnsi="Times New Roman" w:cs="Times New Roman" w:eastAsiaTheme="minorEastAsia"/>
          <w:sz w:val="32"/>
          <w:szCs w:val="32"/>
        </w:rPr>
      </w:pPr>
    </w:p>
    <w:p w14:paraId="511432C8">
      <w:pPr>
        <w:pStyle w:val="16"/>
        <w:jc w:val="center"/>
        <w:rPr>
          <w:rFonts w:ascii="Times New Roman" w:hAnsi="Times New Roman" w:cs="Times New Roman"/>
          <w:sz w:val="72"/>
          <w:szCs w:val="72"/>
        </w:rPr>
      </w:pPr>
    </w:p>
    <w:p w14:paraId="4DFA3A8A">
      <w:pPr>
        <w:pStyle w:val="16"/>
        <w:jc w:val="center"/>
        <w:rPr>
          <w:rFonts w:hint="eastAsia" w:ascii="Times New Roman" w:hAnsi="Times New Roman" w:eastAsia="黑体" w:cs="Times New Roman"/>
          <w:sz w:val="72"/>
          <w:szCs w:val="72"/>
          <w:lang w:eastAsia="zh-CN"/>
        </w:rPr>
      </w:pPr>
    </w:p>
    <w:p w14:paraId="4C297B61">
      <w:pPr>
        <w:pStyle w:val="16"/>
        <w:jc w:val="center"/>
        <w:rPr>
          <w:rFonts w:ascii="Times New Roman" w:hAnsi="Times New Roman" w:cs="Times New Roman"/>
          <w:sz w:val="72"/>
          <w:szCs w:val="72"/>
        </w:rPr>
      </w:pPr>
    </w:p>
    <w:p w14:paraId="671DD4BF">
      <w:pPr>
        <w:pStyle w:val="16"/>
        <w:jc w:val="center"/>
        <w:rPr>
          <w:rFonts w:ascii="Times New Roman" w:hAnsi="Times New Roman" w:cs="Times New Roman"/>
          <w:sz w:val="72"/>
          <w:szCs w:val="72"/>
        </w:rPr>
      </w:pPr>
    </w:p>
    <w:p w14:paraId="5CE29EB8">
      <w:pPr>
        <w:pStyle w:val="16"/>
        <w:jc w:val="center"/>
        <w:rPr>
          <w:rFonts w:ascii="Times New Roman" w:hAnsi="Times New Roman" w:cs="Times New Roman"/>
          <w:sz w:val="72"/>
          <w:szCs w:val="72"/>
        </w:rPr>
      </w:pPr>
    </w:p>
    <w:p w14:paraId="57271A34">
      <w:pPr>
        <w:pStyle w:val="16"/>
        <w:jc w:val="center"/>
        <w:rPr>
          <w:rFonts w:ascii="Times New Roman" w:hAnsi="Times New Roman" w:cs="Times New Roman"/>
          <w:sz w:val="72"/>
          <w:szCs w:val="72"/>
        </w:rPr>
      </w:pPr>
    </w:p>
    <w:p w14:paraId="701F371E">
      <w:pPr>
        <w:pStyle w:val="16"/>
        <w:jc w:val="center"/>
        <w:rPr>
          <w:rFonts w:ascii="Times New Roman" w:hAnsi="Times New Roman" w:cs="Times New Roman"/>
          <w:sz w:val="72"/>
          <w:szCs w:val="72"/>
        </w:rPr>
      </w:pPr>
    </w:p>
    <w:p w14:paraId="59D4F80E">
      <w:pPr>
        <w:pStyle w:val="16"/>
        <w:jc w:val="center"/>
        <w:rPr>
          <w:rFonts w:ascii="Times New Roman" w:hAnsi="Times New Roman" w:cs="Times New Roman"/>
          <w:sz w:val="72"/>
          <w:szCs w:val="72"/>
        </w:rPr>
      </w:pPr>
    </w:p>
    <w:p w14:paraId="3C1B70E6">
      <w:pPr>
        <w:pStyle w:val="16"/>
        <w:jc w:val="both"/>
        <w:rPr>
          <w:rFonts w:ascii="Times New Roman" w:hAnsi="Times New Roman" w:cs="Times New Roman"/>
          <w:sz w:val="72"/>
          <w:szCs w:val="72"/>
        </w:rPr>
      </w:pPr>
    </w:p>
    <w:p w14:paraId="1228E33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9258D0E">
      <w:pPr>
        <w:rPr>
          <w:rFonts w:ascii="Times New Roman" w:hAnsi="Times New Roman" w:cs="Times New Roman"/>
          <w:sz w:val="72"/>
          <w:szCs w:val="72"/>
        </w:rPr>
      </w:pPr>
    </w:p>
    <w:p w14:paraId="4CDC9DD1">
      <w:pPr>
        <w:pStyle w:val="16"/>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w:t>
      </w:r>
      <w:r>
        <w:rPr>
          <w:rFonts w:hint="eastAsia"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 w:eastAsia="zh-CN"/>
        </w:rPr>
        <w:t>4</w:t>
      </w:r>
      <w:r>
        <w:rPr>
          <w:rFonts w:hint="eastAsia" w:ascii="Times New Roman" w:hAnsi="Times New Roman" w:eastAsia="仿宋_GB2312" w:cs="Times New Roman"/>
          <w:sz w:val="32"/>
          <w:szCs w:val="32"/>
          <w:lang w:val="en-US" w:eastAsia="zh-CN"/>
        </w:rPr>
        <w:t>年度部门决算公开表</w:t>
      </w:r>
    </w:p>
    <w:p w14:paraId="2EFE835B">
      <w:pPr>
        <w:pStyle w:val="16"/>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2024年度部门(单位)整体支出绩效自评报告。</w:t>
      </w:r>
    </w:p>
    <w:p w14:paraId="151C78F9">
      <w:pPr>
        <w:pStyle w:val="16"/>
        <w:spacing w:line="600" w:lineRule="exact"/>
        <w:ind w:firstLine="640" w:firstLineChars="200"/>
        <w:rPr>
          <w:rFonts w:ascii="Times New Roman" w:hAnsi="Times New Roman" w:eastAsia="仿宋_GB2312" w:cs="Times New Roman"/>
          <w:sz w:val="32"/>
          <w:szCs w:val="32"/>
        </w:rPr>
      </w:pPr>
    </w:p>
    <w:p w14:paraId="6C90FDF2">
      <w:pPr>
        <w:pStyle w:val="16"/>
        <w:jc w:val="center"/>
        <w:rPr>
          <w:rFonts w:ascii="Times New Roman" w:hAnsi="Times New Roman" w:cs="Times New Roman"/>
          <w:sz w:val="72"/>
          <w:szCs w:val="72"/>
        </w:rPr>
      </w:pPr>
    </w:p>
    <w:p w14:paraId="5F915520">
      <w:pPr>
        <w:pStyle w:val="16"/>
        <w:jc w:val="center"/>
        <w:rPr>
          <w:rFonts w:ascii="Times New Roman" w:hAnsi="Times New Roman" w:cs="Times New Roman"/>
          <w:sz w:val="72"/>
          <w:szCs w:val="72"/>
        </w:rPr>
      </w:pPr>
    </w:p>
    <w:p w14:paraId="5B96A08F">
      <w:pPr>
        <w:rPr>
          <w:rFonts w:hint="default" w:ascii="Times New Roman" w:hAnsi="Times New Roman" w:eastAsia="仿宋_GB2312" w:cs="Times New Roman"/>
          <w:b/>
          <w:bCs/>
          <w:color w:val="FF0000"/>
          <w:sz w:val="40"/>
          <w:szCs w:val="40"/>
          <w:lang w:val="en-US" w:eastAsia="zh-CN"/>
        </w:rPr>
      </w:pPr>
    </w:p>
    <w:sectPr>
      <w:footerReference r:id="rId7" w:type="default"/>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11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378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E27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B25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16F1C">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116F1C">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C39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0B6B2">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40B6B2">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85AF"/>
    <w:multiLevelType w:val="singleLevel"/>
    <w:tmpl w:val="88C685AF"/>
    <w:lvl w:ilvl="0" w:tentative="0">
      <w:start w:val="1"/>
      <w:numFmt w:val="chineseCounting"/>
      <w:suff w:val="nothing"/>
      <w:lvlText w:val="%1、"/>
      <w:lvlJc w:val="left"/>
      <w:rPr>
        <w:rFonts w:hint="eastAsia"/>
      </w:rPr>
    </w:lvl>
  </w:abstractNum>
  <w:abstractNum w:abstractNumId="1">
    <w:nsid w:val="C34E49EE"/>
    <w:multiLevelType w:val="singleLevel"/>
    <w:tmpl w:val="C34E49EE"/>
    <w:lvl w:ilvl="0" w:tentative="0">
      <w:start w:val="2"/>
      <w:numFmt w:val="chineseCounting"/>
      <w:suff w:val="nothing"/>
      <w:lvlText w:val="（%1）"/>
      <w:lvlJc w:val="left"/>
      <w:rPr>
        <w:rFonts w:hint="eastAsia"/>
      </w:rPr>
    </w:lvl>
  </w:abstractNum>
  <w:abstractNum w:abstractNumId="2">
    <w:nsid w:val="CFDE4CF6"/>
    <w:multiLevelType w:val="singleLevel"/>
    <w:tmpl w:val="CFDE4CF6"/>
    <w:lvl w:ilvl="0" w:tentative="0">
      <w:start w:val="2"/>
      <w:numFmt w:val="chineseCounting"/>
      <w:suff w:val="space"/>
      <w:lvlText w:val="第%1部分"/>
      <w:lvlJc w:val="left"/>
      <w:rPr>
        <w:rFonts w:hint="eastAsia"/>
      </w:rPr>
    </w:lvl>
  </w:abstractNum>
  <w:abstractNum w:abstractNumId="3">
    <w:nsid w:val="F93E3BF4"/>
    <w:multiLevelType w:val="singleLevel"/>
    <w:tmpl w:val="F93E3BF4"/>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DdlY2Y1MGVkMWIxM2EzNjAxOWE4MzEwODc4Mzg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E362ED"/>
    <w:rsid w:val="1D97DEFF"/>
    <w:rsid w:val="1DFF72E5"/>
    <w:rsid w:val="1EFC6F07"/>
    <w:rsid w:val="1FDF0B72"/>
    <w:rsid w:val="2BDE5CBD"/>
    <w:rsid w:val="2FDF85B8"/>
    <w:rsid w:val="2FFFEE04"/>
    <w:rsid w:val="33B3D739"/>
    <w:rsid w:val="34DF85B0"/>
    <w:rsid w:val="3B8F36BC"/>
    <w:rsid w:val="491FF225"/>
    <w:rsid w:val="4FFD214C"/>
    <w:rsid w:val="54E23F51"/>
    <w:rsid w:val="5777D4F5"/>
    <w:rsid w:val="59DD8326"/>
    <w:rsid w:val="5DEF592A"/>
    <w:rsid w:val="5FC6BB1E"/>
    <w:rsid w:val="5FF720F1"/>
    <w:rsid w:val="639F1030"/>
    <w:rsid w:val="67FF5C0B"/>
    <w:rsid w:val="6BCF3EE5"/>
    <w:rsid w:val="6EFC0924"/>
    <w:rsid w:val="6FB74722"/>
    <w:rsid w:val="6FEF8B7E"/>
    <w:rsid w:val="71A6591B"/>
    <w:rsid w:val="737D59BA"/>
    <w:rsid w:val="77C37683"/>
    <w:rsid w:val="79D19834"/>
    <w:rsid w:val="79FF515B"/>
    <w:rsid w:val="7A935EE3"/>
    <w:rsid w:val="7E9E1962"/>
    <w:rsid w:val="7E9F11B4"/>
    <w:rsid w:val="7EB3024D"/>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B7BD518"/>
    <w:rsid w:val="DFFE359E"/>
    <w:rsid w:val="DFFE4FFD"/>
    <w:rsid w:val="EEABED75"/>
    <w:rsid w:val="EFDE7D2C"/>
    <w:rsid w:val="F56FDF51"/>
    <w:rsid w:val="F6B69F17"/>
    <w:rsid w:val="F77F1D61"/>
    <w:rsid w:val="F7FED3A9"/>
    <w:rsid w:val="F8C9DB26"/>
    <w:rsid w:val="F97E8EAE"/>
    <w:rsid w:val="F9FF45B5"/>
    <w:rsid w:val="FB36E1A6"/>
    <w:rsid w:val="FB3BE134"/>
    <w:rsid w:val="FC278370"/>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jc w:val="both"/>
    </w:pPr>
    <w:rPr>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index 5"/>
    <w:basedOn w:val="1"/>
    <w:next w:val="1"/>
    <w:unhideWhenUsed/>
    <w:qFormat/>
    <w:uiPriority w:val="99"/>
    <w:pPr>
      <w:suppressAutoHyphens/>
      <w:ind w:left="1680"/>
    </w:pPr>
    <w:rPr>
      <w:szCs w:val="20"/>
    </w:rPr>
  </w:style>
  <w:style w:type="paragraph" w:styleId="5">
    <w:name w:val="Body Text"/>
    <w:basedOn w:val="1"/>
    <w:next w:val="4"/>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8"/>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8"/>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paragraph" w:customStyle="1" w:styleId="2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7831</Words>
  <Characters>8389</Characters>
  <Lines>69</Lines>
  <Paragraphs>19</Paragraphs>
  <TotalTime>12</TotalTime>
  <ScaleCrop>false</ScaleCrop>
  <LinksUpToDate>false</LinksUpToDate>
  <CharactersWithSpaces>8414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自由行走的胡萝北</cp:lastModifiedBy>
  <cp:lastPrinted>2025-09-25T15:01:00Z</cp:lastPrinted>
  <dcterms:modified xsi:type="dcterms:W3CDTF">2025-10-29T01:31:28Z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A7899C8D45FC4D20908EB25DC34B3554_13</vt:lpwstr>
  </property>
  <property fmtid="{D5CDD505-2E9C-101B-9397-08002B2CF9AE}" pid="4" name="KSOTemplateDocerSaveRecord">
    <vt:lpwstr>eyJoZGlkIjoiNjE3MmM4Njk5ZDI1NTAxYzczOWE2ZDE3NmVmNzAwMzAiLCJ1c2VySWQiOiI0MTgyMjcyMzAifQ==</vt:lpwstr>
  </property>
</Properties>
</file>