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CFEE">
      <w:pPr>
        <w:pStyle w:val="16"/>
        <w:jc w:val="center"/>
        <w:rPr>
          <w:rFonts w:ascii="Times New Roman" w:hAnsi="Times New Roman" w:cs="Times New Roman"/>
          <w:sz w:val="56"/>
          <w:szCs w:val="56"/>
        </w:rPr>
      </w:pPr>
    </w:p>
    <w:p w14:paraId="3F372BB6">
      <w:pPr>
        <w:pStyle w:val="16"/>
        <w:jc w:val="center"/>
        <w:rPr>
          <w:rFonts w:ascii="Times New Roman" w:hAnsi="Times New Roman" w:cs="Times New Roman"/>
          <w:sz w:val="84"/>
          <w:szCs w:val="84"/>
        </w:rPr>
      </w:pPr>
    </w:p>
    <w:p w14:paraId="2EC79576">
      <w:pPr>
        <w:pStyle w:val="16"/>
        <w:jc w:val="center"/>
        <w:rPr>
          <w:rFonts w:ascii="Times New Roman" w:hAnsi="Times New Roman" w:cs="Times New Roman"/>
          <w:sz w:val="84"/>
          <w:szCs w:val="84"/>
        </w:rPr>
      </w:pPr>
    </w:p>
    <w:p w14:paraId="79C66EDF">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285DF85">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永州市冷水滩市场监督管理局</w:t>
      </w:r>
      <w:r>
        <w:rPr>
          <w:rFonts w:ascii="Times New Roman" w:hAnsi="Times New Roman" w:eastAsia="方正小标宋简体" w:cs="Times New Roman"/>
          <w:sz w:val="72"/>
          <w:szCs w:val="72"/>
        </w:rPr>
        <w:t>部门决算</w:t>
      </w:r>
    </w:p>
    <w:p w14:paraId="4C682F7A">
      <w:pPr>
        <w:pStyle w:val="16"/>
        <w:jc w:val="both"/>
        <w:rPr>
          <w:rFonts w:ascii="Times New Roman" w:hAnsi="Times New Roman" w:cs="Times New Roman"/>
          <w:sz w:val="56"/>
          <w:szCs w:val="56"/>
        </w:rPr>
      </w:pPr>
    </w:p>
    <w:p w14:paraId="4785076C">
      <w:pPr>
        <w:pStyle w:val="16"/>
        <w:rPr>
          <w:rFonts w:ascii="Times New Roman" w:hAnsi="Times New Roman" w:cs="Times New Roman"/>
          <w:sz w:val="56"/>
          <w:szCs w:val="56"/>
        </w:rPr>
      </w:pPr>
    </w:p>
    <w:p w14:paraId="4E9FFF8D">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A6A7003">
      <w:pPr>
        <w:pStyle w:val="16"/>
        <w:spacing w:line="600" w:lineRule="exact"/>
        <w:jc w:val="both"/>
        <w:rPr>
          <w:rFonts w:ascii="Times New Roman" w:hAnsi="Times New Roman" w:cs="Times New Roman"/>
          <w:b/>
          <w:sz w:val="36"/>
          <w:szCs w:val="28"/>
        </w:rPr>
      </w:pPr>
    </w:p>
    <w:p w14:paraId="0524CE8A">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57FBD52">
      <w:pPr>
        <w:pStyle w:val="16"/>
        <w:spacing w:line="600" w:lineRule="exact"/>
        <w:jc w:val="center"/>
        <w:rPr>
          <w:rFonts w:ascii="Times New Roman" w:hAnsi="Times New Roman" w:cs="Times New Roman"/>
          <w:b/>
          <w:sz w:val="36"/>
          <w:szCs w:val="28"/>
        </w:rPr>
      </w:pPr>
    </w:p>
    <w:p w14:paraId="7779747C">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永州市冷水滩区市场监督管理局</w:t>
      </w:r>
      <w:r>
        <w:rPr>
          <w:rFonts w:ascii="Times New Roman" w:hAnsi="Times New Roman" w:cs="Times New Roman"/>
          <w:bCs/>
          <w:sz w:val="32"/>
          <w:szCs w:val="32"/>
        </w:rPr>
        <w:t>概况</w:t>
      </w:r>
    </w:p>
    <w:p w14:paraId="1C0EA0D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FA6718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424FDAD">
      <w:pPr>
        <w:pStyle w:val="16"/>
        <w:spacing w:before="156" w:beforeLines="50" w:after="156" w:afterLines="50" w:line="600" w:lineRule="exact"/>
        <w:rPr>
          <w:rFonts w:hint="eastAsia" w:ascii="Times New Roman" w:hAnsi="Times New Roman" w:eastAsia="黑体" w:cs="Times New Roman"/>
          <w:b w:val="0"/>
          <w:bCs/>
          <w:color w:val="FF0000"/>
          <w:sz w:val="24"/>
          <w:szCs w:val="24"/>
          <w:lang w:eastAsia="zh-CN"/>
        </w:rPr>
      </w:pPr>
      <w:r>
        <w:rPr>
          <w:rFonts w:ascii="Times New Roman" w:hAnsi="Times New Roman" w:cs="Times New Roman"/>
          <w:bCs/>
          <w:sz w:val="32"/>
          <w:szCs w:val="32"/>
        </w:rPr>
        <w:t>第二部分 部门决算表</w:t>
      </w:r>
    </w:p>
    <w:p w14:paraId="08E5854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96E1A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2802FF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828EAA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BA146C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EF1BF6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81F7A8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B98FD2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CC2B00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85C171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5B6574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9200CD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F1703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87B0D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523E2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38BB48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EE739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84FC4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90FBE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1F83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A2522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46C11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A6C272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460A18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B4B6717">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BD6AC3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8BCD9C3">
      <w:pPr>
        <w:pStyle w:val="16"/>
        <w:spacing w:line="600" w:lineRule="exact"/>
        <w:rPr>
          <w:rFonts w:ascii="Times New Roman" w:hAnsi="Times New Roman" w:cs="Times New Roman"/>
          <w:bCs/>
          <w:sz w:val="28"/>
          <w:szCs w:val="28"/>
        </w:rPr>
      </w:pPr>
    </w:p>
    <w:p w14:paraId="4F5A66AC">
      <w:pPr>
        <w:jc w:val="center"/>
        <w:rPr>
          <w:rFonts w:ascii="Times New Roman" w:hAnsi="Times New Roman" w:cs="Times New Roman"/>
          <w:sz w:val="72"/>
          <w:szCs w:val="72"/>
        </w:rPr>
      </w:pPr>
    </w:p>
    <w:p w14:paraId="1249BC2D">
      <w:pPr>
        <w:jc w:val="center"/>
        <w:rPr>
          <w:rFonts w:ascii="Times New Roman" w:hAnsi="Times New Roman" w:cs="Times New Roman"/>
          <w:sz w:val="72"/>
          <w:szCs w:val="72"/>
        </w:rPr>
      </w:pPr>
    </w:p>
    <w:p w14:paraId="57AFF9AC">
      <w:pPr>
        <w:jc w:val="center"/>
        <w:rPr>
          <w:rFonts w:ascii="Times New Roman" w:hAnsi="Times New Roman" w:cs="Times New Roman"/>
          <w:sz w:val="72"/>
          <w:szCs w:val="72"/>
        </w:rPr>
      </w:pPr>
    </w:p>
    <w:p w14:paraId="243740D1">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ADF3F6C">
      <w:pPr>
        <w:rPr>
          <w:rFonts w:ascii="Times New Roman" w:hAnsi="Times New Roman" w:eastAsia="方正小标宋_GBK" w:cs="Times New Roman"/>
          <w:sz w:val="72"/>
          <w:szCs w:val="72"/>
        </w:rPr>
      </w:pPr>
    </w:p>
    <w:p w14:paraId="50CE8A29">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6AD314C">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永州市冷水滩市场监督管理局</w:t>
      </w:r>
      <w:r>
        <w:rPr>
          <w:rFonts w:ascii="Times New Roman" w:hAnsi="Times New Roman" w:eastAsia="方正小标宋_GBK" w:cs="Times New Roman"/>
          <w:sz w:val="52"/>
          <w:szCs w:val="52"/>
        </w:rPr>
        <w:t>概况</w:t>
      </w:r>
    </w:p>
    <w:p w14:paraId="42F52857">
      <w:pPr>
        <w:pStyle w:val="7"/>
        <w:ind w:left="0" w:leftChars="0" w:firstLine="0" w:firstLineChars="0"/>
        <w:rPr>
          <w:rFonts w:ascii="Times New Roman" w:hAnsi="Times New Roman" w:cs="Times New Roman"/>
        </w:rPr>
      </w:pPr>
    </w:p>
    <w:p w14:paraId="139EBAE8">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D9D1B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负责市场综合监督管理。贯彻执行国家有关市场监督管理的方针政策和法律法规，拟制市场监督管理地方规范性文件，组织实施质量强区战略、食品安全战略、标准化战略和知识产权战略，拟制并组织实施有关规划，规范和维护市场秩序，营造诚实守信、公平竞争的市场环境。</w:t>
      </w:r>
    </w:p>
    <w:p w14:paraId="7AC60A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负责市场主体统一登记注册。负责全区各类企业、农民专业合作社和从事经营活动的单位、个体工商户以及外国（地区）企业常驻代表机构等市场主体的登记注册和监督管理工作。建立市场主体信患公示和共享机制，依法公示和共享有关信息，加强信用监管，推动市场主体信用体系建设。</w:t>
      </w:r>
    </w:p>
    <w:p w14:paraId="278A45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14:paraId="7DA7DF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）负责组织和指导市场监督综合执法工作。指导全区市场监管综合执法队伍整合和建设，推动实行统一的市场监管。组织配合查处重大违法案件。规范市场监管行政执法行为。</w:t>
      </w:r>
    </w:p>
    <w:p w14:paraId="68A7B8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受上级委托履行权限内的反垄断执法调查职责。统筹推进竞争政策实施，组织实施公平竞争审查制度。根据委托依法对经营者集中行为进行反垄断调查，根据委托负责承担垄断协议、滥用市场支配地位和滥用行政权力排除、限制竞争等反垄断工作。</w:t>
      </w:r>
    </w:p>
    <w:p w14:paraId="6717D0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14:paraId="4717BD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）负责宏观质量管理。拟制并组织实施质量强区发展的制度措施，会同有关部门组织实施较大工程设备质量监理制度，组织较大产品质量事故调查，贯彻实施缺陷产品召回制度，监督管理产品防伪工作。</w:t>
      </w:r>
    </w:p>
    <w:p w14:paraId="034BCD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rPr>
        <w:t>）负责产品质量安全监督管理。管理产品质量安全风险监控、全区监督抽查工作，落实质量分级制度、质量安全追溯制度。负责工业产品生产许可监督管理。负责纤维质量监督工作。</w:t>
      </w:r>
    </w:p>
    <w:p w14:paraId="63E5AD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rPr>
        <w:t>）负责特种设备安全监督管理。综合管理特种设备安全监察、监督工作，监督检查高耗能特种设备节能标准和锅炉环境保护标准的执行情况。按规定权限配合组织调查处理特种设备事 故并进行统计分析。</w:t>
      </w:r>
    </w:p>
    <w:p w14:paraId="23F345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rPr>
        <w:t>）负责食品安全监督管理综合协调。组织制定食品安全有关政策措施并组织实施。负责食品安全应急体系建设，组织指导一般食品安全事件应急处置和调查处理工作。建立健全食品安全重要信息直报制度。承担区政府食品安全委员会日常工作。</w:t>
      </w:r>
    </w:p>
    <w:p w14:paraId="7F8BE6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14:paraId="08C9E5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十二</w:t>
      </w:r>
      <w:r>
        <w:rPr>
          <w:rFonts w:hint="eastAsia" w:ascii="Times New Roman" w:hAnsi="Times New Roman" w:eastAsia="仿宋_GB2312" w:cs="Times New Roman"/>
          <w:sz w:val="32"/>
          <w:szCs w:val="32"/>
        </w:rPr>
        <w:t>）负责统一管理计量工作。推行法定计量单位和国家计量制度，依职责管理计量器具及量值传递和比对工作。规范、监督商品量和市场计量行为。</w:t>
      </w:r>
    </w:p>
    <w:p w14:paraId="0300FF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十三</w:t>
      </w:r>
      <w:r>
        <w:rPr>
          <w:rFonts w:hint="eastAsia" w:ascii="Times New Roman" w:hAnsi="Times New Roman" w:eastAsia="仿宋_GB2312" w:cs="Times New Roman"/>
          <w:sz w:val="32"/>
          <w:szCs w:val="32"/>
        </w:rPr>
        <w:t>）负责统一管理标准化工作。指导开展标准化试点示范工作。依据法定职责，对标准的制定进行指导监督，对标准的实施进行监督检查。推行采用国际标准。</w:t>
      </w:r>
    </w:p>
    <w:p w14:paraId="0E5886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十四</w:t>
      </w:r>
      <w:r>
        <w:rPr>
          <w:rFonts w:hint="eastAsia" w:ascii="Times New Roman" w:hAnsi="Times New Roman" w:eastAsia="仿宋_GB2312" w:cs="Times New Roman"/>
          <w:sz w:val="32"/>
          <w:szCs w:val="32"/>
        </w:rPr>
        <w:t>）负责统一管理检验检测工作。规范检验检测市场，完善检验检测体系，指导协调检验检测行业发展。</w:t>
      </w:r>
    </w:p>
    <w:p w14:paraId="33D0BA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十五</w:t>
      </w:r>
      <w:r>
        <w:rPr>
          <w:rFonts w:hint="eastAsia" w:ascii="Times New Roman" w:hAnsi="Times New Roman" w:eastAsia="仿宋_GB2312" w:cs="Times New Roman"/>
          <w:sz w:val="32"/>
          <w:szCs w:val="32"/>
        </w:rPr>
        <w:t>）负责统一管理、监督和综合协调全区认证认可工作。依法监督管理全区认证认可和合格评定有关活动。</w:t>
      </w:r>
    </w:p>
    <w:p w14:paraId="061AB8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十六</w:t>
      </w:r>
      <w:r>
        <w:rPr>
          <w:rFonts w:hint="eastAsia" w:ascii="Times New Roman" w:hAnsi="Times New Roman" w:eastAsia="仿宋_GB2312" w:cs="Times New Roman"/>
          <w:sz w:val="32"/>
          <w:szCs w:val="32"/>
        </w:rPr>
        <w:t>）负责市场监督管理、知识产权领域科技和信息化建设、新闻宣传、对外交流与合作。按规定承担技术性贸易措施有关工作。</w:t>
      </w:r>
    </w:p>
    <w:p w14:paraId="6DE9A0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十七</w:t>
      </w:r>
      <w:r>
        <w:rPr>
          <w:rFonts w:hint="eastAsia" w:ascii="Times New Roman" w:hAnsi="Times New Roman" w:eastAsia="仿宋_GB2312" w:cs="Times New Roman"/>
          <w:sz w:val="32"/>
          <w:szCs w:val="32"/>
        </w:rPr>
        <w:t>）负责实施知识产权战略，推进知识产权强区建设。组织制定实施知识产权创造、保护、运用的政策措施。负责知识产权公共服务体系建设、推动知识产权信息传播利用。统筹协调涉外知识产权有关事宜。</w:t>
      </w:r>
    </w:p>
    <w:p w14:paraId="1E99C0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十八</w:t>
      </w:r>
      <w:r>
        <w:rPr>
          <w:rFonts w:hint="eastAsia" w:ascii="Times New Roman" w:hAnsi="Times New Roman" w:eastAsia="仿宋_GB2312" w:cs="Times New Roman"/>
          <w:sz w:val="32"/>
          <w:szCs w:val="32"/>
        </w:rPr>
        <w:t>）负责保护知识产权。落实严格保护商标、专利、原产地地理标志等相关工作，负责知识产权保护体系建设，组织指导商标、专利执法工作。</w:t>
      </w:r>
    </w:p>
    <w:p w14:paraId="36B3B7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十九</w:t>
      </w:r>
      <w:r>
        <w:rPr>
          <w:rFonts w:hint="eastAsia" w:ascii="Times New Roman" w:hAnsi="Times New Roman" w:eastAsia="仿宋_GB2312" w:cs="Times New Roman"/>
          <w:sz w:val="32"/>
          <w:szCs w:val="32"/>
        </w:rPr>
        <w:t>）负责知识产权创造运用。按权限负责商标、专利和原产地地理标志的管理，开展知识产权运营体系建设，指导较大经济活动知识产权评议，规范知识产权交易和无形资产评估，促进知识产权转移转化。</w:t>
      </w:r>
    </w:p>
    <w:p w14:paraId="6D840E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w:t>
      </w:r>
      <w:r>
        <w:rPr>
          <w:rFonts w:hint="eastAsia" w:ascii="Times New Roman" w:hAnsi="Times New Roman" w:eastAsia="仿宋_GB2312" w:cs="Times New Roman"/>
          <w:sz w:val="32"/>
          <w:szCs w:val="32"/>
        </w:rPr>
        <w:t>）负责组织开展有关服务领域消费维权工作，查处制售假冒伪劣等违法行为，指导消费者咨询、申诉、举报受理、处理和网络体系建设等工作，保护经营者、消费者合法权益。</w:t>
      </w:r>
    </w:p>
    <w:p w14:paraId="21132D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二十一</w:t>
      </w:r>
      <w:r>
        <w:rPr>
          <w:rFonts w:hint="eastAsia" w:ascii="Times New Roman" w:hAnsi="Times New Roman" w:eastAsia="仿宋_GB2312" w:cs="Times New Roman"/>
          <w:sz w:val="32"/>
          <w:szCs w:val="32"/>
        </w:rPr>
        <w:t>）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w:t>
      </w:r>
      <w:r>
        <w:rPr>
          <w:rFonts w:hint="eastAsia" w:ascii="Times New Roman" w:hAnsi="Times New Roman" w:eastAsia="仿宋_GB2312" w:cs="Times New Roman"/>
          <w:sz w:val="32"/>
          <w:szCs w:val="32"/>
          <w:lang w:eastAsia="zh-CN"/>
        </w:rPr>
        <w:t>。</w:t>
      </w:r>
    </w:p>
    <w:p w14:paraId="7E9A320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446628C">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40464D71">
      <w:pPr>
        <w:widowControl/>
        <w:spacing w:line="600" w:lineRule="exact"/>
        <w:ind w:firstLine="627" w:firstLineChars="196"/>
        <w:jc w:val="left"/>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仿宋_GB2312"/>
          <w:bCs/>
          <w:kern w:val="0"/>
          <w:sz w:val="32"/>
          <w:szCs w:val="32"/>
          <w:lang w:eastAsia="zh-CN"/>
        </w:rPr>
        <w:t>永州市冷水滩区市场监督管理局</w:t>
      </w:r>
      <w:r>
        <w:rPr>
          <w:rFonts w:hint="eastAsia" w:ascii="Times New Roman" w:hAnsi="Times New Roman" w:eastAsia="仿宋_GB2312" w:cs="Times New Roman"/>
          <w:b w:val="0"/>
          <w:color w:val="auto"/>
          <w:kern w:val="2"/>
          <w:sz w:val="32"/>
          <w:szCs w:val="32"/>
          <w:lang w:val="en-US" w:eastAsia="zh-CN" w:bidi="ar-SA"/>
        </w:rPr>
        <w:t>是政府工作部门，是财政全额拨款的行政单位。有内设机构3</w:t>
      </w:r>
      <w:r>
        <w:rPr>
          <w:rFonts w:hint="eastAsia" w:eastAsia="仿宋_GB2312" w:cs="Times New Roman"/>
          <w:b w:val="0"/>
          <w:color w:val="auto"/>
          <w:kern w:val="2"/>
          <w:sz w:val="32"/>
          <w:szCs w:val="32"/>
          <w:lang w:val="en-US" w:eastAsia="zh-CN" w:bidi="ar-SA"/>
        </w:rPr>
        <w:t>8</w:t>
      </w:r>
      <w:r>
        <w:rPr>
          <w:rFonts w:hint="eastAsia" w:ascii="Times New Roman" w:hAnsi="Times New Roman" w:eastAsia="仿宋_GB2312" w:cs="Times New Roman"/>
          <w:b w:val="0"/>
          <w:color w:val="auto"/>
          <w:kern w:val="2"/>
          <w:sz w:val="32"/>
          <w:szCs w:val="32"/>
          <w:lang w:val="en-US" w:eastAsia="zh-CN" w:bidi="ar-SA"/>
        </w:rPr>
        <w:t>个：</w:t>
      </w:r>
    </w:p>
    <w:p w14:paraId="308D91F2">
      <w:pPr>
        <w:widowControl/>
        <w:spacing w:line="600" w:lineRule="exact"/>
        <w:ind w:firstLine="640" w:firstLineChars="200"/>
        <w:rPr>
          <w:rFonts w:hint="eastAsia"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办公室(信访股)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综合规划股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政策法规股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执法督查股(规范直销与打击传销办公室)</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登记注册股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信用监督管理股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反垄断股、价格监督检查和反不正当竞争股、网络交易监督管理股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广告监督管理股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质量发展股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产品质量安全监督管理股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食品安全协调股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食品生产安全监督管理股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餐饮服务食品安全监督管理股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食品流通安全监督管理股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特殊食品安全监督管理股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食品安全抽检监测股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特种设备安全监察股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计量股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标准化股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认证监督管理股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认可与检验检测监督管理股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知识产权促进股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知识产权保护股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知识产权运用股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消费者权益保护股(投诉举报办公室)</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新闻宣传与应急管理股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行政审批股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非公有制经济组织党建工作股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药品流通监督管理股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医疗器械监督管理股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化妆品监督管理股(药品生产服务股)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盐务监督管理股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不良反应监测股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科技和财务股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人事股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离退休人员管理服务股</w:t>
      </w:r>
      <w:r>
        <w:rPr>
          <w:rFonts w:hint="eastAsia" w:eastAsia="仿宋_GB2312" w:cs="Times New Roman"/>
          <w:b w:val="0"/>
          <w:color w:val="auto"/>
          <w:kern w:val="2"/>
          <w:sz w:val="32"/>
          <w:szCs w:val="32"/>
          <w:lang w:val="en-US" w:eastAsia="zh-CN" w:bidi="ar-SA"/>
        </w:rPr>
        <w:t xml:space="preserve">。  </w:t>
      </w:r>
    </w:p>
    <w:p w14:paraId="18416238">
      <w:pPr>
        <w:widowControl/>
        <w:numPr>
          <w:ilvl w:val="0"/>
          <w:numId w:val="1"/>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524B301B">
      <w:pPr>
        <w:widowControl/>
        <w:spacing w:line="600" w:lineRule="exact"/>
        <w:ind w:firstLine="640" w:firstLineChars="200"/>
        <w:rPr>
          <w:rFonts w:hint="eastAsia" w:eastAsia="仿宋_GB2312"/>
          <w:color w:val="auto"/>
          <w:sz w:val="32"/>
          <w:szCs w:val="32"/>
          <w:lang w:val="en-US" w:eastAsia="zh-CN"/>
        </w:rPr>
      </w:pPr>
      <w:r>
        <w:rPr>
          <w:rFonts w:hint="eastAsia" w:ascii="Times New Roman" w:hAnsi="Times New Roman" w:eastAsia="仿宋_GB2312" w:cs="仿宋_GB2312"/>
          <w:bCs/>
          <w:kern w:val="0"/>
          <w:sz w:val="32"/>
          <w:szCs w:val="32"/>
          <w:lang w:eastAsia="zh-CN"/>
        </w:rPr>
        <w:t>永州市冷水滩区市场监督管理局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eastAsia="仿宋_GB2312"/>
          <w:color w:val="auto"/>
          <w:sz w:val="32"/>
          <w:szCs w:val="32"/>
          <w:lang w:val="en-US" w:eastAsia="zh-CN"/>
        </w:rPr>
        <w:t>永州市冷水滩区市场监督管理局本级、永州市市场监督管理局冷水滩分局个体私营经济发展指导中心、冷水滩区消费者委员会办公室、永州市工商局冷水滩分局信息中心。</w:t>
      </w:r>
    </w:p>
    <w:p w14:paraId="17070DE3">
      <w:pPr>
        <w:widowControl/>
        <w:spacing w:line="600" w:lineRule="exact"/>
        <w:ind w:firstLine="640" w:firstLineChars="200"/>
        <w:rPr>
          <w:rFonts w:ascii="Times New Roman" w:hAnsi="Times New Roman" w:eastAsia="仿宋_GB2312" w:cs="Times New Roman"/>
          <w:bCs/>
          <w:kern w:val="0"/>
          <w:sz w:val="32"/>
          <w:szCs w:val="32"/>
        </w:rPr>
      </w:pPr>
    </w:p>
    <w:p w14:paraId="5BF1E2D9">
      <w:pPr>
        <w:jc w:val="left"/>
        <w:rPr>
          <w:rFonts w:ascii="Times New Roman" w:hAnsi="Times New Roman" w:eastAsia="仿宋_GB2312" w:cs="Times New Roman"/>
          <w:sz w:val="28"/>
          <w:szCs w:val="32"/>
        </w:rPr>
      </w:pPr>
    </w:p>
    <w:p w14:paraId="2B88B091">
      <w:pPr>
        <w:jc w:val="center"/>
        <w:rPr>
          <w:rFonts w:ascii="Times New Roman" w:hAnsi="Times New Roman" w:eastAsia="黑体" w:cs="Times New Roman"/>
          <w:sz w:val="28"/>
          <w:szCs w:val="28"/>
        </w:rPr>
      </w:pPr>
    </w:p>
    <w:p w14:paraId="43492555"/>
    <w:p w14:paraId="00FEBC4D">
      <w:pPr>
        <w:pStyle w:val="11"/>
        <w:rPr>
          <w:rFonts w:ascii="Times New Roman" w:hAnsi="Times New Roman" w:cs="Times New Roman"/>
        </w:rPr>
      </w:pPr>
    </w:p>
    <w:p w14:paraId="114AF9F3">
      <w:pPr>
        <w:pStyle w:val="7"/>
        <w:sectPr>
          <w:footerReference r:id="rId6" w:type="default"/>
          <w:pgSz w:w="11906" w:h="16838"/>
          <w:pgMar w:top="1417" w:right="1588" w:bottom="1417" w:left="1588" w:header="851" w:footer="992" w:gutter="0"/>
          <w:pgNumType w:start="1"/>
          <w:cols w:space="425" w:num="1"/>
          <w:docGrid w:type="lines" w:linePitch="312" w:charSpace="0"/>
        </w:sectPr>
      </w:pPr>
    </w:p>
    <w:p w14:paraId="415D1FC6">
      <w:pPr>
        <w:pStyle w:val="16"/>
        <w:numPr>
          <w:ilvl w:val="0"/>
          <w:numId w:val="0"/>
        </w:numPr>
        <w:jc w:val="center"/>
        <w:rPr>
          <w:rFonts w:ascii="Times New Roman" w:hAnsi="Times New Roman" w:eastAsia="方正小标宋_GBK" w:cs="Times New Roman"/>
          <w:sz w:val="52"/>
          <w:szCs w:val="52"/>
        </w:rPr>
      </w:pPr>
    </w:p>
    <w:p w14:paraId="52FCB03F">
      <w:pPr>
        <w:pStyle w:val="16"/>
        <w:numPr>
          <w:ilvl w:val="0"/>
          <w:numId w:val="0"/>
        </w:numPr>
        <w:jc w:val="center"/>
        <w:rPr>
          <w:rFonts w:ascii="Times New Roman" w:hAnsi="Times New Roman" w:eastAsia="方正小标宋_GBK" w:cs="Times New Roman"/>
          <w:sz w:val="52"/>
          <w:szCs w:val="52"/>
        </w:rPr>
      </w:pPr>
    </w:p>
    <w:p w14:paraId="2E74E8BB">
      <w:pPr>
        <w:pStyle w:val="16"/>
        <w:numPr>
          <w:ilvl w:val="0"/>
          <w:numId w:val="2"/>
        </w:numPr>
        <w:jc w:val="center"/>
        <w:rPr>
          <w:rFonts w:ascii="Times New Roman" w:hAnsi="Times New Roman" w:eastAsia="方正小标宋_GBK" w:cs="Times New Roman"/>
          <w:sz w:val="52"/>
          <w:szCs w:val="52"/>
        </w:rPr>
      </w:pPr>
    </w:p>
    <w:p w14:paraId="30055662">
      <w:pPr>
        <w:pStyle w:val="16"/>
        <w:numPr>
          <w:ilvl w:val="0"/>
          <w:numId w:val="0"/>
        </w:numPr>
        <w:ind w:firstLine="2860" w:firstLineChars="55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4943D1B0">
      <w:pPr>
        <w:pStyle w:val="16"/>
        <w:numPr>
          <w:ilvl w:val="0"/>
          <w:numId w:val="0"/>
        </w:numPr>
        <w:ind w:firstLine="2860" w:firstLineChars="550"/>
        <w:jc w:val="both"/>
        <w:rPr>
          <w:rFonts w:ascii="Times New Roman" w:hAnsi="Times New Roman" w:eastAsia="方正小标宋_GBK" w:cs="Times New Roman"/>
          <w:sz w:val="52"/>
          <w:szCs w:val="52"/>
        </w:rPr>
      </w:pPr>
    </w:p>
    <w:p w14:paraId="1B7CBE97">
      <w:pPr>
        <w:widowControl/>
        <w:spacing w:line="600" w:lineRule="exact"/>
        <w:rPr>
          <w:rFonts w:ascii="Times New Roman" w:hAnsi="Times New Roman" w:eastAsia="方正小标宋_GBK" w:cs="Times New Roman"/>
          <w:sz w:val="70"/>
          <w:szCs w:val="70"/>
        </w:rPr>
      </w:pPr>
      <w:r>
        <w:rPr>
          <w:rFonts w:hint="eastAsia" w:ascii="Times New Roman" w:hAnsi="Times New Roman" w:eastAsia="黑体" w:cs="Times New Roman"/>
          <w:bCs/>
          <w:kern w:val="0"/>
          <w:sz w:val="44"/>
          <w:szCs w:val="44"/>
          <w:lang w:val="en-US" w:eastAsia="zh-CN"/>
        </w:rPr>
        <w:t>详见《附件1：202</w:t>
      </w:r>
      <w:r>
        <w:rPr>
          <w:rFonts w:hint="default" w:ascii="Times New Roman" w:hAnsi="Times New Roman" w:eastAsia="黑体" w:cs="Times New Roman"/>
          <w:bCs/>
          <w:kern w:val="0"/>
          <w:sz w:val="44"/>
          <w:szCs w:val="44"/>
          <w:lang w:val="en" w:eastAsia="zh-CN"/>
        </w:rPr>
        <w:t>4</w:t>
      </w:r>
      <w:r>
        <w:rPr>
          <w:rFonts w:hint="eastAsia" w:ascii="Times New Roman" w:hAnsi="Times New Roman" w:eastAsia="黑体" w:cs="Times New Roman"/>
          <w:bCs/>
          <w:kern w:val="0"/>
          <w:sz w:val="44"/>
          <w:szCs w:val="44"/>
          <w:lang w:val="en-US" w:eastAsia="zh-CN"/>
        </w:rPr>
        <w:t>年度部门决算公开表》</w:t>
      </w:r>
    </w:p>
    <w:p w14:paraId="4C3F2295">
      <w:pPr>
        <w:rPr>
          <w:rFonts w:hint="default" w:ascii="Times New Roman" w:hAnsi="Times New Roman" w:eastAsia="仿宋_GB2312" w:cs="Times New Roman"/>
          <w:color w:val="FF0000"/>
          <w:sz w:val="32"/>
          <w:szCs w:val="32"/>
          <w:lang w:val="en-US" w:eastAsia="zh-CN"/>
        </w:rPr>
      </w:pPr>
    </w:p>
    <w:p w14:paraId="769AB7F3">
      <w:pPr>
        <w:rPr>
          <w:rFonts w:hint="default" w:ascii="Times New Roman" w:hAnsi="Times New Roman" w:eastAsia="仿宋_GB2312" w:cs="Times New Roman"/>
          <w:color w:val="FF0000"/>
          <w:sz w:val="32"/>
          <w:szCs w:val="32"/>
          <w:lang w:val="en-US" w:eastAsia="zh-CN"/>
        </w:rPr>
      </w:pPr>
    </w:p>
    <w:p w14:paraId="23D775A0">
      <w:pPr>
        <w:rPr>
          <w:rFonts w:hint="default" w:ascii="Times New Roman" w:hAnsi="Times New Roman" w:eastAsia="仿宋_GB2312" w:cs="Times New Roman"/>
          <w:color w:val="FF0000"/>
          <w:sz w:val="32"/>
          <w:szCs w:val="32"/>
          <w:lang w:val="en-US" w:eastAsia="zh-CN"/>
        </w:rPr>
      </w:pPr>
    </w:p>
    <w:p w14:paraId="7B1DABE0">
      <w:pPr>
        <w:rPr>
          <w:rFonts w:hint="default" w:ascii="Times New Roman" w:hAnsi="Times New Roman" w:eastAsia="仿宋_GB2312" w:cs="Times New Roman"/>
          <w:color w:val="FF0000"/>
          <w:sz w:val="32"/>
          <w:szCs w:val="32"/>
          <w:lang w:val="en-US" w:eastAsia="zh-CN"/>
        </w:rPr>
      </w:pPr>
    </w:p>
    <w:p w14:paraId="43DA14E2">
      <w:pPr>
        <w:rPr>
          <w:rFonts w:hint="default" w:ascii="Times New Roman" w:hAnsi="Times New Roman" w:eastAsia="仿宋_GB2312" w:cs="Times New Roman"/>
          <w:color w:val="FF0000"/>
          <w:sz w:val="32"/>
          <w:szCs w:val="32"/>
          <w:lang w:val="en-US" w:eastAsia="zh-CN"/>
        </w:rPr>
      </w:pPr>
    </w:p>
    <w:p w14:paraId="58AF9A91">
      <w:pPr>
        <w:rPr>
          <w:rFonts w:hint="default" w:ascii="Times New Roman" w:hAnsi="Times New Roman" w:eastAsia="仿宋_GB2312" w:cs="Times New Roman"/>
          <w:color w:val="FF0000"/>
          <w:sz w:val="32"/>
          <w:szCs w:val="32"/>
          <w:lang w:val="en-US" w:eastAsia="zh-CN"/>
        </w:rPr>
      </w:pPr>
    </w:p>
    <w:p w14:paraId="7E6F3676">
      <w:pPr>
        <w:rPr>
          <w:rFonts w:hint="default" w:ascii="Times New Roman" w:hAnsi="Times New Roman" w:eastAsia="仿宋_GB2312" w:cs="Times New Roman"/>
          <w:color w:val="FF0000"/>
          <w:sz w:val="32"/>
          <w:szCs w:val="32"/>
          <w:lang w:val="en-US" w:eastAsia="zh-CN"/>
        </w:rPr>
      </w:pPr>
    </w:p>
    <w:p w14:paraId="6ADA34DD">
      <w:pPr>
        <w:rPr>
          <w:rFonts w:hint="default" w:ascii="Times New Roman" w:hAnsi="Times New Roman" w:eastAsia="仿宋_GB2312" w:cs="Times New Roman"/>
          <w:color w:val="FF0000"/>
          <w:sz w:val="32"/>
          <w:szCs w:val="32"/>
          <w:lang w:val="en-US" w:eastAsia="zh-CN"/>
        </w:rPr>
      </w:pPr>
    </w:p>
    <w:p w14:paraId="73B0AEE1">
      <w:pPr>
        <w:rPr>
          <w:rFonts w:hint="default" w:ascii="Times New Roman" w:hAnsi="Times New Roman" w:eastAsia="仿宋_GB2312" w:cs="Times New Roman"/>
          <w:color w:val="FF0000"/>
          <w:sz w:val="32"/>
          <w:szCs w:val="32"/>
          <w:lang w:val="en-US" w:eastAsia="zh-CN"/>
        </w:rPr>
      </w:pPr>
    </w:p>
    <w:p w14:paraId="41188AD2">
      <w:pPr>
        <w:rPr>
          <w:rFonts w:hint="default" w:ascii="Times New Roman" w:hAnsi="Times New Roman" w:eastAsia="仿宋_GB2312" w:cs="Times New Roman"/>
          <w:color w:val="FF0000"/>
          <w:sz w:val="32"/>
          <w:szCs w:val="32"/>
          <w:lang w:val="en-US" w:eastAsia="zh-CN"/>
        </w:rPr>
      </w:pPr>
    </w:p>
    <w:p w14:paraId="2C225D03">
      <w:pPr>
        <w:rPr>
          <w:rFonts w:hint="default" w:ascii="Times New Roman" w:hAnsi="Times New Roman" w:eastAsia="仿宋_GB2312" w:cs="Times New Roman"/>
          <w:color w:val="FF0000"/>
          <w:sz w:val="32"/>
          <w:szCs w:val="32"/>
          <w:lang w:val="en-US" w:eastAsia="zh-CN"/>
        </w:rPr>
      </w:pPr>
    </w:p>
    <w:p w14:paraId="13970D99">
      <w:pPr>
        <w:rPr>
          <w:rFonts w:hint="default" w:ascii="Times New Roman" w:hAnsi="Times New Roman" w:eastAsia="仿宋_GB2312" w:cs="Times New Roman"/>
          <w:color w:val="FF0000"/>
          <w:sz w:val="32"/>
          <w:szCs w:val="32"/>
          <w:lang w:val="en-US" w:eastAsia="zh-CN"/>
        </w:rPr>
      </w:pPr>
    </w:p>
    <w:p w14:paraId="631832B2">
      <w:pPr>
        <w:rPr>
          <w:rFonts w:hint="default" w:ascii="Times New Roman" w:hAnsi="Times New Roman" w:eastAsia="仿宋_GB2312" w:cs="Times New Roman"/>
          <w:color w:val="FF0000"/>
          <w:sz w:val="32"/>
          <w:szCs w:val="32"/>
          <w:lang w:val="en-US" w:eastAsia="zh-CN"/>
        </w:rPr>
      </w:pPr>
    </w:p>
    <w:p w14:paraId="48594912">
      <w:pPr>
        <w:rPr>
          <w:rFonts w:hint="default" w:ascii="Times New Roman" w:hAnsi="Times New Roman" w:eastAsia="仿宋_GB2312" w:cs="Times New Roman"/>
          <w:color w:val="FF0000"/>
          <w:sz w:val="32"/>
          <w:szCs w:val="32"/>
          <w:lang w:val="en-US" w:eastAsia="zh-CN"/>
        </w:rPr>
      </w:pPr>
    </w:p>
    <w:p w14:paraId="222D1EDD">
      <w:pPr>
        <w:rPr>
          <w:rFonts w:hint="default" w:ascii="Times New Roman" w:hAnsi="Times New Roman" w:eastAsia="仿宋_GB2312" w:cs="Times New Roman"/>
          <w:color w:val="FF0000"/>
          <w:sz w:val="32"/>
          <w:szCs w:val="32"/>
          <w:lang w:val="en-US" w:eastAsia="zh-CN"/>
        </w:rPr>
      </w:pPr>
    </w:p>
    <w:p w14:paraId="11089903">
      <w:pPr>
        <w:rPr>
          <w:rFonts w:ascii="Times New Roman" w:hAnsi="Times New Roman" w:eastAsia="方正小标宋_GBK" w:cs="Times New Roman"/>
          <w:sz w:val="72"/>
          <w:szCs w:val="72"/>
        </w:rPr>
      </w:pPr>
    </w:p>
    <w:p w14:paraId="377B9EB8">
      <w:pPr>
        <w:pStyle w:val="2"/>
        <w:rPr>
          <w:rFonts w:ascii="Times New Roman" w:hAnsi="Times New Roman" w:eastAsia="方正小标宋_GBK" w:cs="Times New Roman"/>
          <w:sz w:val="72"/>
          <w:szCs w:val="72"/>
        </w:rPr>
      </w:pPr>
    </w:p>
    <w:p w14:paraId="181DB334"/>
    <w:p w14:paraId="497D77D8">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218F96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C0C348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943BF6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3E0705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eastAsia="zh-CN"/>
        </w:rPr>
        <w:t>入</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我单位为市区两级共管单位故有支出差距和厉行节约，节省开支。</w:t>
      </w:r>
    </w:p>
    <w:p w14:paraId="7113476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我单位为市区两级共管单位故有支出差距和厉行节约，节省开支</w:t>
      </w:r>
      <w:r>
        <w:rPr>
          <w:rFonts w:hint="eastAsia" w:ascii="Times New Roman" w:hAnsi="Times New Roman" w:eastAsia="仿宋_GB2312" w:cs="Times New Roman"/>
          <w:sz w:val="32"/>
          <w:szCs w:val="32"/>
          <w:lang w:eastAsia="zh-CN"/>
        </w:rPr>
        <w:t>。</w:t>
      </w:r>
    </w:p>
    <w:p w14:paraId="15EE875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A74D5E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95BDA7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0A9442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1682.73</w:t>
      </w:r>
      <w:r>
        <w:rPr>
          <w:rFonts w:hint="eastAsia" w:ascii="Times New Roman" w:hAnsi="Times New Roman" w:eastAsia="仿宋_GB2312"/>
          <w:sz w:val="32"/>
          <w:szCs w:val="32"/>
        </w:rPr>
        <w:t>万元，其中：</w:t>
      </w:r>
      <w:r>
        <w:rPr>
          <w:rFonts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val="en-US" w:eastAsia="zh-CN"/>
        </w:rPr>
        <w:t>1509.63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173.1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848752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5ADFBB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eastAsia="zh-CN"/>
        </w:rPr>
        <w:t>入</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落实过紧日子要求厉行节约，</w:t>
      </w:r>
      <w:r>
        <w:rPr>
          <w:rFonts w:hint="eastAsia" w:ascii="仿宋_GB2312" w:eastAsia="仿宋_GB2312" w:cs="仿宋_GB2312"/>
          <w:sz w:val="32"/>
          <w:szCs w:val="32"/>
          <w:highlight w:val="none"/>
          <w:lang w:val="en-US" w:eastAsia="zh-CN" w:bidi="ar"/>
        </w:rPr>
        <w:t>人员减少，经费减少。</w:t>
      </w:r>
    </w:p>
    <w:p w14:paraId="1BD2A5B7">
      <w:pPr>
        <w:pStyle w:val="16"/>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落实过紧日子要求厉行节约，</w:t>
      </w:r>
      <w:r>
        <w:rPr>
          <w:rFonts w:hint="eastAsia" w:ascii="仿宋_GB2312" w:eastAsia="仿宋_GB2312" w:cs="仿宋_GB2312"/>
          <w:sz w:val="32"/>
          <w:szCs w:val="32"/>
          <w:highlight w:val="none"/>
          <w:lang w:val="en-US" w:eastAsia="zh-CN" w:bidi="ar"/>
        </w:rPr>
        <w:t>人员减少，经费减少。</w:t>
      </w:r>
    </w:p>
    <w:p w14:paraId="4A92B88D">
      <w:pPr>
        <w:pStyle w:val="16"/>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一般公共预算财政拨款支出决算情况说明</w:t>
      </w:r>
    </w:p>
    <w:p w14:paraId="08F5C023">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9229A66">
      <w:pPr>
        <w:pStyle w:val="16"/>
        <w:overflowPunct w:val="0"/>
        <w:autoSpaceDE/>
        <w:autoSpaceDN/>
        <w:spacing w:line="600" w:lineRule="exact"/>
        <w:ind w:firstLine="640" w:firstLineChars="200"/>
        <w:jc w:val="both"/>
        <w:rPr>
          <w:rFonts w:hint="eastAsia" w:ascii="仿宋_GB2312" w:eastAsia="仿宋_GB2312" w:cs="仿宋_GB2312"/>
          <w:sz w:val="32"/>
          <w:szCs w:val="32"/>
          <w:highlight w:val="none"/>
          <w:lang w:val="en-US" w:eastAsia="zh-CN" w:bidi="ar"/>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1682.73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ascii="Times New Roman" w:hAnsi="Times New Roman" w:eastAsia="仿宋_GB2312" w:cs="Times New Roman"/>
          <w:sz w:val="32"/>
          <w:szCs w:val="32"/>
        </w:rPr>
        <w:t>财政拨款支出减少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厉行节约以及人员经费和公用经费收入减少。</w:t>
      </w:r>
    </w:p>
    <w:p w14:paraId="69A4C9C9">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C059C6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1682.73</w:t>
      </w:r>
      <w:r>
        <w:rPr>
          <w:rFonts w:hint="eastAsia" w:ascii="Times New Roman" w:hAnsi="Times New Roman" w:eastAsia="仿宋_GB2312"/>
          <w:sz w:val="32"/>
          <w:szCs w:val="32"/>
        </w:rPr>
        <w:t>万元，主要用于以下方面：</w:t>
      </w:r>
      <w:r>
        <w:rPr>
          <w:rFonts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1326.38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174.93万元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10.4%；卫生健康支出69.02万元，占4.1%；住房保障支出112.4万元，占6.7%。</w:t>
      </w:r>
    </w:p>
    <w:p w14:paraId="1FDB57F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A3DB70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1566.64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107.4</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，其中：</w:t>
      </w:r>
    </w:p>
    <w:p w14:paraId="190E9A15">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1、一般公共服务（类）市场监督管理事务（款）行政运行（项）。年初预算为</w:t>
      </w:r>
      <w:r>
        <w:rPr>
          <w:rFonts w:hint="eastAsia" w:ascii="Times New Roman" w:hAnsi="Times New Roman" w:eastAsia="仿宋_GB2312"/>
          <w:color w:val="auto"/>
          <w:sz w:val="32"/>
          <w:szCs w:val="32"/>
          <w:lang w:val="en-US" w:eastAsia="zh-CN"/>
        </w:rPr>
        <w:t>1203.07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1153.28万</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95.86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人员异动等原因产生差额</w:t>
      </w:r>
      <w:r>
        <w:rPr>
          <w:rFonts w:hint="eastAsia" w:ascii="Times New Roman" w:hAnsi="Times New Roman" w:eastAsia="仿宋_GB2312"/>
          <w:color w:val="auto"/>
          <w:sz w:val="32"/>
          <w:szCs w:val="32"/>
        </w:rPr>
        <w:t>。</w:t>
      </w:r>
    </w:p>
    <w:p w14:paraId="18455209">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、一般公共服务（类）市场监督管理事务（款）食品安全监管（项）。年初预算为0万元，支出决算为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万元，决算数大于年初预算数的主要原因是：省级追加中央食品监管补助资金。</w:t>
      </w:r>
    </w:p>
    <w:p w14:paraId="5B587A3F">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、一般公共服务（类）市场监督管理事务（款）其他市场监督管理事务（项）。年初预算为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123.45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 xml:space="preserve"> 205.75</w:t>
      </w:r>
      <w:r>
        <w:rPr>
          <w:rFonts w:hint="eastAsia" w:ascii="Times New Roman" w:hAnsi="Times New Roman" w:eastAsia="仿宋_GB2312"/>
          <w:color w:val="auto"/>
          <w:sz w:val="32"/>
          <w:szCs w:val="32"/>
        </w:rPr>
        <w:t>%，决算数与年初预算数不一致的原因：一是追加省级市场监管经费；二是执法办案经费</w:t>
      </w:r>
      <w:r>
        <w:rPr>
          <w:rFonts w:hint="eastAsia" w:ascii="Times New Roman" w:hAnsi="Times New Roman" w:eastAsia="仿宋_GB2312"/>
          <w:color w:val="auto"/>
          <w:sz w:val="32"/>
          <w:szCs w:val="32"/>
          <w:lang w:val="en-US" w:eastAsia="zh-CN"/>
        </w:rPr>
        <w:t>增加</w:t>
      </w:r>
      <w:r>
        <w:rPr>
          <w:rFonts w:hint="eastAsia" w:ascii="Times New Roman" w:hAnsi="Times New Roman" w:eastAsia="仿宋_GB2312"/>
          <w:color w:val="auto"/>
          <w:sz w:val="32"/>
          <w:szCs w:val="32"/>
        </w:rPr>
        <w:t>。</w:t>
      </w:r>
    </w:p>
    <w:p w14:paraId="2DA35FBD">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支出（类）行政事业单位养老支出（款）机关事业单位基本养老保险缴费支出（项）。年初预算为</w:t>
      </w:r>
      <w:r>
        <w:rPr>
          <w:rFonts w:hint="eastAsia" w:ascii="Times New Roman" w:hAnsi="Times New Roman" w:eastAsia="仿宋_GB2312"/>
          <w:color w:val="auto"/>
          <w:sz w:val="32"/>
          <w:szCs w:val="32"/>
          <w:lang w:val="en-US" w:eastAsia="zh-CN"/>
        </w:rPr>
        <w:t>133.75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133.75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年初预算数的原因是：</w:t>
      </w:r>
      <w:r>
        <w:rPr>
          <w:rFonts w:hint="eastAsia" w:ascii="Times New Roman" w:hAnsi="Times New Roman" w:eastAsia="仿宋_GB2312"/>
          <w:color w:val="auto"/>
          <w:sz w:val="32"/>
          <w:szCs w:val="32"/>
          <w:lang w:val="en-US" w:eastAsia="zh-CN"/>
        </w:rPr>
        <w:t>当年无</w:t>
      </w:r>
      <w:r>
        <w:rPr>
          <w:rFonts w:hint="eastAsia" w:ascii="Times New Roman" w:hAnsi="Times New Roman" w:eastAsia="仿宋_GB2312"/>
          <w:color w:val="auto"/>
          <w:sz w:val="32"/>
          <w:szCs w:val="32"/>
        </w:rPr>
        <w:t>人员异动等原因产生差额。</w:t>
      </w:r>
    </w:p>
    <w:p w14:paraId="59DFDB0C">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支出（类）行政事业单位养老支出（款）其他知识产权事务支出（项）。年初预算为0万元，支出决算为</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省级专项资金对企业的补助资金</w:t>
      </w:r>
      <w:r>
        <w:rPr>
          <w:rFonts w:hint="eastAsia" w:ascii="Times New Roman" w:hAnsi="Times New Roman" w:eastAsia="仿宋_GB2312"/>
          <w:color w:val="auto"/>
          <w:sz w:val="32"/>
          <w:szCs w:val="32"/>
        </w:rPr>
        <w:t>。</w:t>
      </w:r>
    </w:p>
    <w:p w14:paraId="5AB3B7CA">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支出（类）抚恤（款）死亡抚恤（项）。年初预算为0万元，支出决算为</w:t>
      </w:r>
      <w:r>
        <w:rPr>
          <w:rFonts w:hint="eastAsia" w:ascii="Times New Roman" w:hAnsi="Times New Roman" w:eastAsia="仿宋_GB2312"/>
          <w:color w:val="auto"/>
          <w:sz w:val="32"/>
          <w:szCs w:val="32"/>
          <w:lang w:val="en-US" w:eastAsia="zh-CN"/>
        </w:rPr>
        <w:t>41.1</w:t>
      </w:r>
      <w:r>
        <w:rPr>
          <w:rFonts w:hint="default"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万元，决算数大于年初预算数的主要原因是：依据政策和当年实际情况追加经费。</w:t>
      </w:r>
    </w:p>
    <w:p w14:paraId="32DED7B6">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、卫生健康支出（类）行政事业单位医疗（款）行政单位医疗（项）。年初预算为</w:t>
      </w:r>
      <w:r>
        <w:rPr>
          <w:rFonts w:hint="eastAsia" w:ascii="Times New Roman" w:hAnsi="Times New Roman" w:eastAsia="仿宋_GB2312"/>
          <w:color w:val="auto"/>
          <w:sz w:val="32"/>
          <w:szCs w:val="32"/>
          <w:lang w:val="en-US" w:eastAsia="zh-CN"/>
        </w:rPr>
        <w:t>56.4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56.4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bookmarkStart w:id="0" w:name="OLE_LINK4"/>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年初预算数的原因是：</w:t>
      </w:r>
      <w:r>
        <w:rPr>
          <w:rFonts w:hint="eastAsia" w:ascii="Times New Roman" w:hAnsi="Times New Roman" w:eastAsia="仿宋_GB2312"/>
          <w:color w:val="auto"/>
          <w:sz w:val="32"/>
          <w:szCs w:val="32"/>
          <w:lang w:val="en-US" w:eastAsia="zh-CN"/>
        </w:rPr>
        <w:t>当年无</w:t>
      </w:r>
      <w:r>
        <w:rPr>
          <w:rFonts w:hint="eastAsia" w:ascii="Times New Roman" w:hAnsi="Times New Roman" w:eastAsia="仿宋_GB2312"/>
          <w:color w:val="auto"/>
          <w:sz w:val="32"/>
          <w:szCs w:val="32"/>
        </w:rPr>
        <w:t>人员异动等原因产生差额。</w:t>
      </w:r>
    </w:p>
    <w:bookmarkEnd w:id="0"/>
    <w:p w14:paraId="170AE898">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、卫生健康支出（类）行政事业单位医疗（款）公务员医疗补助（项）。年初预算为0万元，支出决算为</w:t>
      </w:r>
      <w:r>
        <w:rPr>
          <w:rFonts w:hint="eastAsia" w:ascii="Times New Roman" w:hAnsi="Times New Roman" w:eastAsia="仿宋_GB2312"/>
          <w:color w:val="auto"/>
          <w:sz w:val="32"/>
          <w:szCs w:val="32"/>
          <w:lang w:val="en-US" w:eastAsia="zh-CN"/>
        </w:rPr>
        <w:t>12.6</w:t>
      </w:r>
      <w:r>
        <w:rPr>
          <w:rFonts w:hint="default"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万元，决算数大于年初预算数的主要原因是：依据相关政策和当年实际追加公务员医疗费二次报销经费。</w:t>
      </w:r>
      <w:bookmarkStart w:id="1" w:name="_GoBack"/>
      <w:bookmarkEnd w:id="1"/>
    </w:p>
    <w:p w14:paraId="34551960">
      <w:pPr>
        <w:pStyle w:val="16"/>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、住房保障支出（类）住房改革支出（款）住房公积金（项）。年初预算为</w:t>
      </w:r>
      <w:r>
        <w:rPr>
          <w:rFonts w:hint="eastAsia" w:ascii="Times New Roman" w:hAnsi="Times New Roman" w:eastAsia="仿宋_GB2312"/>
          <w:color w:val="auto"/>
          <w:sz w:val="32"/>
          <w:szCs w:val="32"/>
          <w:lang w:val="en-US" w:eastAsia="zh-CN"/>
        </w:rPr>
        <w:t>113.42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112.4</w:t>
      </w:r>
      <w:r>
        <w:rPr>
          <w:rFonts w:hint="eastAsia" w:ascii="Times New Roman" w:hAnsi="Times New Roman" w:eastAsia="仿宋_GB2312"/>
          <w:color w:val="auto"/>
          <w:sz w:val="32"/>
          <w:szCs w:val="32"/>
        </w:rPr>
        <w:t>万元，决算数小于年初预算数的原因是：</w:t>
      </w:r>
      <w:r>
        <w:rPr>
          <w:rFonts w:hint="eastAsia" w:ascii="Times New Roman" w:hAnsi="Times New Roman" w:eastAsia="仿宋_GB2312"/>
          <w:color w:val="auto"/>
          <w:sz w:val="32"/>
          <w:szCs w:val="32"/>
          <w:lang w:val="en-US" w:eastAsia="zh-CN"/>
        </w:rPr>
        <w:t>调整公积金基数</w:t>
      </w:r>
      <w:r>
        <w:rPr>
          <w:rFonts w:hint="eastAsia" w:ascii="Times New Roman" w:hAnsi="Times New Roman" w:eastAsia="仿宋_GB2312"/>
          <w:color w:val="auto"/>
          <w:sz w:val="32"/>
          <w:szCs w:val="32"/>
        </w:rPr>
        <w:t>产生差额。</w:t>
      </w:r>
    </w:p>
    <w:p w14:paraId="4CBE04DE">
      <w:pPr>
        <w:pStyle w:val="16"/>
        <w:spacing w:line="600" w:lineRule="exact"/>
        <w:ind w:firstLine="640" w:firstLineChars="200"/>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一般公共服务（类）市场监督管理事务（款）</w:t>
      </w:r>
      <w:r>
        <w:rPr>
          <w:rFonts w:hint="eastAsia" w:ascii="Times New Roman" w:hAnsi="Times New Roman" w:eastAsia="仿宋_GB2312"/>
          <w:color w:val="auto"/>
          <w:sz w:val="32"/>
          <w:szCs w:val="32"/>
          <w:lang w:val="en-US" w:eastAsia="zh-CN"/>
        </w:rPr>
        <w:t>药品事务</w:t>
      </w:r>
      <w:r>
        <w:rPr>
          <w:rFonts w:hint="eastAsia" w:ascii="Times New Roman" w:hAnsi="Times New Roman" w:eastAsia="仿宋_GB2312"/>
          <w:color w:val="auto"/>
          <w:sz w:val="32"/>
          <w:szCs w:val="32"/>
        </w:rPr>
        <w:t>（项）。年初预算为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4.64</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val="en-US" w:eastAsia="zh-CN"/>
        </w:rPr>
        <w:t>大于</w:t>
      </w:r>
      <w:r>
        <w:rPr>
          <w:rFonts w:hint="eastAsia" w:ascii="Times New Roman" w:hAnsi="Times New Roman" w:eastAsia="仿宋_GB2312"/>
          <w:color w:val="auto"/>
          <w:sz w:val="32"/>
          <w:szCs w:val="32"/>
        </w:rPr>
        <w:t>年初预算数的原因：依据政策和当年实际情况追加经费。</w:t>
      </w:r>
    </w:p>
    <w:p w14:paraId="2D39F85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C56829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1509.63</w:t>
      </w:r>
      <w:r>
        <w:rPr>
          <w:rFonts w:hint="eastAsia" w:ascii="Times New Roman" w:hAnsi="Times New Roman" w:eastAsia="仿宋_GB2312"/>
          <w:sz w:val="32"/>
          <w:szCs w:val="32"/>
        </w:rPr>
        <w:t>万元，其中：</w:t>
      </w:r>
    </w:p>
    <w:p w14:paraId="46C522A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人员经费1267.60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83.97</w:t>
      </w:r>
      <w:r>
        <w:rPr>
          <w:rFonts w:hint="eastAsia" w:ascii="Times New Roman" w:hAnsi="Times New Roman" w:eastAsia="仿宋_GB2312"/>
          <w:sz w:val="32"/>
          <w:szCs w:val="32"/>
        </w:rPr>
        <w:t>%,主要包括基本工资、津贴补贴、奖金、绩效工资、机关事业单位基本养老保险缴费、职工基本医疗保险缴费、公务员医疗补助缴费、其他社会保障缴费、住房公积金、其他工资福利支出、生活补助、其他对个人和家庭的补助等。</w:t>
      </w:r>
    </w:p>
    <w:p w14:paraId="2032076D">
      <w:pPr>
        <w:pStyle w:val="16"/>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242.03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16.03</w:t>
      </w:r>
      <w:r>
        <w:rPr>
          <w:rFonts w:hint="eastAsia" w:ascii="Times New Roman" w:hAnsi="Times New Roman" w:eastAsia="仿宋_GB2312"/>
          <w:sz w:val="32"/>
          <w:szCs w:val="32"/>
        </w:rPr>
        <w:t>%，主要包括办公费、印刷费、咨询费、手续费、水电费、邮电费、物业管理费、差旅费、维修（护）费、租赁费、会议费、培训费、公务接待费、专用材料费、劳务费、委托业务费、工会经费、福利费、公车运行维护费、其他交通费用、其他商品和服务支出、办公设备购置费、专用设备购置费等。</w:t>
      </w:r>
    </w:p>
    <w:p w14:paraId="4BEE56EA">
      <w:pPr>
        <w:pStyle w:val="16"/>
        <w:numPr>
          <w:ilvl w:val="0"/>
          <w:numId w:val="0"/>
        </w:numPr>
        <w:overflowPunct w:val="0"/>
        <w:autoSpaceDE/>
        <w:autoSpaceDN/>
        <w:spacing w:line="600" w:lineRule="exact"/>
        <w:ind w:leftChars="200" w:firstLine="320" w:firstLineChars="1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七、</w:t>
      </w:r>
      <w:r>
        <w:rPr>
          <w:rFonts w:ascii="Times New Roman" w:hAnsi="Times New Roman" w:cs="Times New Roman"/>
          <w:bCs/>
          <w:sz w:val="32"/>
          <w:szCs w:val="32"/>
        </w:rPr>
        <w:t>财政拨款“三公”经费支出决算情况说明</w:t>
      </w:r>
    </w:p>
    <w:p w14:paraId="5E2F457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3E1783C">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58.51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37.78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接待费用支出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接待费用支出减少</w:t>
      </w:r>
      <w:r>
        <w:rPr>
          <w:rFonts w:ascii="Times New Roman" w:hAnsi="Times New Roman" w:eastAsia="仿宋_GB2312" w:cs="Times New Roman"/>
          <w:sz w:val="32"/>
          <w:szCs w:val="32"/>
        </w:rPr>
        <w:t>。</w:t>
      </w:r>
    </w:p>
    <w:p w14:paraId="3965009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414F4E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2024年度我单位未开展因公出国（境）活动。</w:t>
      </w:r>
    </w:p>
    <w:p w14:paraId="18A6D3A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37.59</w:t>
      </w:r>
      <w:r>
        <w:rPr>
          <w:rFonts w:ascii="Times New Roman" w:hAnsi="Times New Roman" w:eastAsia="仿宋_GB2312" w:cs="Times New Roman"/>
          <w:sz w:val="32"/>
          <w:szCs w:val="32"/>
        </w:rPr>
        <w:t>%。其中：</w:t>
      </w:r>
    </w:p>
    <w:p w14:paraId="6C3AA986">
      <w:pPr>
        <w:pStyle w:val="16"/>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万元，与上年一致。</w:t>
      </w:r>
      <w:r>
        <w:rPr>
          <w:rFonts w:hint="eastAsia" w:ascii="Times New Roman" w:hAnsi="Times New Roman" w:eastAsia="仿宋_GB2312"/>
          <w:sz w:val="32"/>
          <w:szCs w:val="32"/>
          <w:lang w:val="en-US" w:eastAsia="zh-CN"/>
        </w:rPr>
        <w:t>本单位无更新公务用车。</w:t>
      </w:r>
    </w:p>
    <w:p w14:paraId="3413134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w:t>
      </w:r>
    </w:p>
    <w:p w14:paraId="34AC367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公务用车油费、车辆保险、车检、过路费、停车费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费用支出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费用支出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辆。</w:t>
      </w:r>
    </w:p>
    <w:p w14:paraId="6BA3B28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44.87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费用支出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根据文件要求接待减少，费用减少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上级单位指导工作</w:t>
      </w:r>
      <w:r>
        <w:rPr>
          <w:rFonts w:ascii="Times New Roman" w:hAnsi="Times New Roman" w:eastAsia="仿宋_GB2312" w:cs="Times New Roman"/>
          <w:sz w:val="32"/>
          <w:szCs w:val="32"/>
        </w:rPr>
        <w:t>发生的接待支出。</w:t>
      </w:r>
    </w:p>
    <w:p w14:paraId="7849CFB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1892115">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2024年度本单位无政府性基金收支。</w:t>
      </w:r>
    </w:p>
    <w:p w14:paraId="5FF921A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155182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242.03</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15.87</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6.15</w:t>
      </w:r>
      <w:r>
        <w:rPr>
          <w:rFonts w:hint="eastAsia" w:ascii="Times New Roman" w:hAnsi="Times New Roman" w:eastAsia="仿宋_GB2312"/>
          <w:sz w:val="32"/>
          <w:szCs w:val="32"/>
        </w:rPr>
        <w:t>%。主要原因是：一是实行“一体化”核算之后科目使用较以前更规范；二是本年度</w:t>
      </w:r>
      <w:r>
        <w:rPr>
          <w:rFonts w:hint="eastAsia" w:ascii="Times New Roman" w:hAnsi="Times New Roman" w:eastAsia="仿宋_GB2312"/>
          <w:sz w:val="32"/>
          <w:szCs w:val="32"/>
          <w:lang w:eastAsia="zh-CN"/>
        </w:rPr>
        <w:t>我单位为一级预算单位</w:t>
      </w:r>
      <w:r>
        <w:rPr>
          <w:rFonts w:hint="eastAsia" w:ascii="Times New Roman" w:hAnsi="Times New Roman" w:eastAsia="仿宋_GB2312"/>
          <w:sz w:val="32"/>
          <w:szCs w:val="32"/>
        </w:rPr>
        <w:t>。</w:t>
      </w:r>
    </w:p>
    <w:p w14:paraId="2664E02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046938C">
      <w:pPr>
        <w:pStyle w:val="16"/>
        <w:overflowPunct w:val="0"/>
        <w:autoSpaceDE/>
        <w:autoSpaceDN/>
        <w:spacing w:line="600" w:lineRule="exact"/>
        <w:ind w:firstLine="640" w:firstLineChars="200"/>
        <w:jc w:val="both"/>
        <w:rPr>
          <w:rFonts w:hint="eastAsia" w:ascii="Times New Roman" w:hAnsi="Times New Roman" w:cs="Times New Roman"/>
          <w:bCs/>
          <w:color w:val="C0504D" w:themeColor="accent2"/>
          <w:sz w:val="32"/>
          <w:szCs w:val="32"/>
          <w:lang w:val="en-US" w:eastAsia="zh-CN"/>
          <w14:textFill>
            <w14:solidFill>
              <w14:schemeClr w14:val="accent2"/>
            </w14:solidFill>
          </w14:textFill>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2024年本单位未在外租场地开展会议，故无会议费开支。</w:t>
      </w:r>
      <w:r>
        <w:rPr>
          <w:rFonts w:hint="eastAsia" w:ascii="Times New Roman" w:hAnsi="Times New Roman" w:eastAsia="仿宋_GB2312" w:cs="Times New Roman"/>
          <w:color w:val="auto"/>
          <w:sz w:val="32"/>
          <w:szCs w:val="32"/>
          <w:lang w:val="en-US" w:eastAsia="zh-CN"/>
        </w:rPr>
        <w:t>2024年本单位未</w:t>
      </w:r>
      <w:r>
        <w:rPr>
          <w:rFonts w:ascii="Times New Roman" w:hAnsi="Times New Roman" w:eastAsia="仿宋_GB2312" w:cs="Times New Roman"/>
          <w:color w:val="auto"/>
          <w:sz w:val="32"/>
          <w:szCs w:val="32"/>
        </w:rPr>
        <w:t>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415D9680">
      <w:pPr>
        <w:pStyle w:val="16"/>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十一、关于政府采购支出说明</w:t>
      </w:r>
    </w:p>
    <w:p w14:paraId="764295C6">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sz w:val="32"/>
          <w:szCs w:val="32"/>
          <w:lang w:val="en-US" w:eastAsia="zh-CN"/>
        </w:rPr>
        <w:t>126.54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sz w:val="32"/>
          <w:szCs w:val="32"/>
          <w:lang w:val="en-US" w:eastAsia="zh-CN"/>
        </w:rPr>
        <w:t>33.59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78.25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126.54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126.54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26.54</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11.62</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61.84</w:t>
      </w:r>
      <w:r>
        <w:rPr>
          <w:rFonts w:ascii="Times New Roman" w:hAnsi="Times New Roman" w:eastAsia="仿宋_GB2312" w:cs="Times New Roman"/>
          <w:color w:val="auto"/>
          <w:sz w:val="32"/>
          <w:szCs w:val="32"/>
        </w:rPr>
        <w:t>%。</w:t>
      </w:r>
    </w:p>
    <w:p w14:paraId="0A8E4399">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1DCA93A">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6F17EDF">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41DA4B02">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6710AE8A">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49263E83">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756C9BA7">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733BB10E">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4FE98E6">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sz w:val="32"/>
          <w:szCs w:val="32"/>
          <w:lang w:val="en-US" w:eastAsia="zh-CN"/>
        </w:rPr>
        <w:t>173.1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sz w:val="32"/>
          <w:szCs w:val="32"/>
          <w:lang w:val="en-US" w:eastAsia="zh-CN"/>
        </w:rPr>
        <w:t>173.1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10.29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903E362">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二是部门评价开展情况（如有，一级预算部门填写）。</w:t>
      </w:r>
    </w:p>
    <w:p w14:paraId="5C23564A">
      <w:pPr>
        <w:pStyle w:val="2"/>
        <w:rPr>
          <w:rFonts w:ascii="Times New Roman" w:hAnsi="Times New Roman" w:eastAsia="仿宋_GB2312" w:cs="Times New Roman"/>
          <w:kern w:val="0"/>
          <w:sz w:val="32"/>
          <w:szCs w:val="32"/>
        </w:rPr>
      </w:pPr>
    </w:p>
    <w:p w14:paraId="0A16E279"/>
    <w:p w14:paraId="46407BD2">
      <w:pPr>
        <w:numPr>
          <w:ilvl w:val="0"/>
          <w:numId w:val="1"/>
        </w:numPr>
        <w:overflowPunct w:val="0"/>
        <w:spacing w:line="600" w:lineRule="exact"/>
        <w:ind w:left="0" w:leftChars="0"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512567E1">
      <w:pPr>
        <w:numPr>
          <w:ilvl w:val="0"/>
          <w:numId w:val="0"/>
        </w:num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一是绩效自评结果。</w:t>
      </w:r>
    </w:p>
    <w:p w14:paraId="669AF082">
      <w:pPr>
        <w:pageBreakBefore w:val="0"/>
        <w:kinsoku/>
        <w:wordWrap/>
        <w:overflowPunct/>
        <w:topLinePunct w:val="0"/>
        <w:bidi w:val="0"/>
        <w:snapToGrid w:val="0"/>
        <w:spacing w:line="240" w:lineRule="auto"/>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仿宋_GB2312" w:eastAsia="仿宋_GB2312"/>
          <w:sz w:val="32"/>
          <w:szCs w:val="32"/>
          <w:lang w:val="en-US" w:eastAsia="zh-CN"/>
        </w:rPr>
        <w:t>1740.13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96.70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p>
    <w:p w14:paraId="749CA0D5">
      <w:pPr>
        <w:pageBreakBefore w:val="0"/>
        <w:kinsoku/>
        <w:wordWrap/>
        <w:overflowPunct/>
        <w:topLinePunct w:val="0"/>
        <w:bidi w:val="0"/>
        <w:snapToGrid w:val="0"/>
        <w:spacing w:line="240" w:lineRule="auto"/>
        <w:ind w:firstLine="640" w:firstLineChars="200"/>
        <w:jc w:val="both"/>
        <w:textAlignment w:val="auto"/>
        <w:rPr>
          <w:rFonts w:hint="eastAsia" w:ascii="仿宋_GB2312" w:hAnsi="仿宋" w:eastAsia="仿宋_GB2312"/>
          <w:sz w:val="32"/>
          <w:szCs w:val="32"/>
          <w:u w:val="none"/>
          <w:lang w:val="en-US" w:eastAsia="zh-CN"/>
        </w:rPr>
      </w:pPr>
      <w:r>
        <w:rPr>
          <w:rFonts w:ascii="Times New Roman" w:hAnsi="Times New Roman" w:eastAsia="仿宋_GB2312" w:cs="Times New Roman"/>
          <w:sz w:val="32"/>
          <w:szCs w:val="32"/>
        </w:rPr>
        <w:t>绩效目标完成情况：一是</w:t>
      </w:r>
      <w:r>
        <w:rPr>
          <w:rFonts w:hint="eastAsia" w:ascii="仿宋_GB2312" w:hAnsi="仿宋" w:eastAsia="仿宋_GB2312"/>
          <w:sz w:val="32"/>
          <w:szCs w:val="32"/>
          <w:u w:val="none"/>
          <w:lang w:val="en-US" w:eastAsia="zh-CN"/>
        </w:rPr>
        <w:t>本单位资金的拨付有完整的审批过程和手续，支出一定程度上符合部门预算批复的用途，资金使用无截留、挤占、挪用、虚列支出等情况。二是本单位2024年度预算信息及时网上公开，本单位基础数据信息和会计信息资料真实、完整，基础数据信息和汇集信息资料准确。非税收入未存在违纪行为，非税任务超额完成。三是延续上年忠诚履职、强化安全监管的监管制度，继续开展专项行动和相关宣传活动，加大稽查打假力度，强化食品药品监督抽验，有力保障了全区人民的饮食用药安全，确保了全年未发生群体性食品药品安全事故。</w:t>
      </w:r>
    </w:p>
    <w:p w14:paraId="1037D6E8">
      <w:pPr>
        <w:pageBreakBefore w:val="0"/>
        <w:kinsoku/>
        <w:wordWrap/>
        <w:overflowPunct/>
        <w:topLinePunct w:val="0"/>
        <w:bidi w:val="0"/>
        <w:snapToGrid w:val="0"/>
        <w:spacing w:line="240" w:lineRule="auto"/>
        <w:ind w:firstLine="640" w:firstLineChars="200"/>
        <w:jc w:val="both"/>
        <w:textAlignment w:val="auto"/>
        <w:rPr>
          <w:rFonts w:hint="eastAsia" w:ascii="仿宋_GB2312" w:hAnsi="仿宋" w:eastAsia="仿宋_GB2312" w:cs="Times New Roman"/>
          <w:sz w:val="32"/>
          <w:szCs w:val="32"/>
          <w:u w:val="none"/>
          <w:lang w:val="en-US" w:eastAsia="zh-CN"/>
        </w:rPr>
      </w:pPr>
      <w:r>
        <w:rPr>
          <w:rFonts w:ascii="Times New Roman" w:hAnsi="Times New Roman" w:eastAsia="仿宋_GB2312" w:cs="Times New Roman"/>
          <w:sz w:val="32"/>
          <w:szCs w:val="32"/>
        </w:rPr>
        <w:t>发现的主要问题及原因：</w:t>
      </w:r>
      <w:r>
        <w:rPr>
          <w:rFonts w:hint="eastAsia" w:ascii="仿宋_GB2312" w:hAnsi="仿宋" w:eastAsia="仿宋_GB2312" w:cs="Times New Roman"/>
          <w:sz w:val="32"/>
          <w:szCs w:val="32"/>
          <w:u w:val="none"/>
          <w:lang w:val="en-US" w:eastAsia="zh-CN"/>
        </w:rPr>
        <w:t>一是资金投入不足，监管需求难满足。食品药品监督管理部门的监管任务繁重，点多，面广，难度大，监管资金投入没有与所承担的监管责任成正比。二是监管能力不足，监管效率急需提升。我局监管工作范围扩大，监管工作经费却没有相应增加，专业人员少，在面对沉重的监管压力，有限的监管力量显得有点力不从心。三是资金拨付滞后。预算内资金、项目资金分别于年中、年底才拨付到位或未拨付，对食品药品安全监管工作开展有一定的影响。</w:t>
      </w:r>
    </w:p>
    <w:p w14:paraId="55CB1852">
      <w:pPr>
        <w:pageBreakBefore w:val="0"/>
        <w:kinsoku/>
        <w:wordWrap/>
        <w:overflowPunct/>
        <w:topLinePunct w:val="0"/>
        <w:bidi w:val="0"/>
        <w:snapToGrid w:val="0"/>
        <w:spacing w:line="240" w:lineRule="auto"/>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下一步改进措施：一是</w:t>
      </w:r>
      <w:r>
        <w:rPr>
          <w:rFonts w:hint="eastAsia" w:ascii="仿宋_GB2312" w:hAnsi="仿宋" w:eastAsia="仿宋_GB2312" w:cs="Times New Roman"/>
          <w:sz w:val="32"/>
          <w:szCs w:val="32"/>
          <w:u w:val="none"/>
          <w:lang w:val="en-US" w:eastAsia="zh-CN"/>
        </w:rPr>
        <w:t>结合上一年度预算执行情况和本年度预算收支变化因素，科学、合理地编制本年预算草案，避免项目支出与基本支出划分不准或预算支出与实际执行出现较大偏差的情况</w:t>
      </w:r>
      <w:r>
        <w:rPr>
          <w:rFonts w:ascii="Times New Roman" w:hAnsi="Times New Roman" w:eastAsia="仿宋_GB2312" w:cs="Times New Roman"/>
          <w:sz w:val="32"/>
          <w:szCs w:val="32"/>
        </w:rPr>
        <w:t>；二是</w:t>
      </w:r>
      <w:r>
        <w:rPr>
          <w:rFonts w:hint="eastAsia" w:ascii="仿宋_GB2312" w:hAnsi="仿宋" w:eastAsia="仿宋_GB2312" w:cs="Times New Roman"/>
          <w:sz w:val="32"/>
          <w:szCs w:val="32"/>
          <w:u w:val="none"/>
          <w:lang w:val="en-US" w:eastAsia="zh-CN"/>
        </w:rPr>
        <w:t>规范账务处理，提高财务信息质量。严格按照《会计法》、《政府会计制度》等规定执行财务核算，并结合实际情况，完整、准确地披露相关信息，尽可能地做到决算与预算相衔接；三是通过不断完善管理制度，进一步加强资产管理。进一步贯彻落实中央“八项规定”建立本部门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四是加强政府会计制度和预算法学习培训。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ascii="Times New Roman" w:hAnsi="Times New Roman" w:eastAsia="仿宋_GB2312" w:cs="Times New Roman"/>
          <w:sz w:val="32"/>
          <w:szCs w:val="32"/>
        </w:rPr>
        <w:t>。</w:t>
      </w:r>
    </w:p>
    <w:p w14:paraId="0AFA714F">
      <w:pPr>
        <w:pStyle w:val="16"/>
        <w:numPr>
          <w:ilvl w:val="0"/>
          <w:numId w:val="1"/>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166E8F5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本单位严格按政策规定及本部门的发展规划，科学合理编制预算，严格执行预算。结合上一年度预算执行情况和本年度预算收支变化因素，科学、合理地编制本年预算草案，避免项目支出与基本支出划分不准或预算支出与实际执行出现较大偏差的情况。</w:t>
      </w:r>
    </w:p>
    <w:p w14:paraId="5CDEC15C">
      <w:pPr>
        <w:pStyle w:val="16"/>
        <w:jc w:val="center"/>
        <w:rPr>
          <w:rFonts w:ascii="Times New Roman" w:hAnsi="Times New Roman" w:cs="Times New Roman"/>
          <w:sz w:val="72"/>
          <w:szCs w:val="72"/>
        </w:rPr>
      </w:pPr>
    </w:p>
    <w:p w14:paraId="6227BC51">
      <w:pPr>
        <w:pStyle w:val="16"/>
        <w:jc w:val="center"/>
        <w:rPr>
          <w:rFonts w:ascii="Times New Roman" w:hAnsi="Times New Roman" w:cs="Times New Roman"/>
          <w:sz w:val="72"/>
          <w:szCs w:val="72"/>
        </w:rPr>
      </w:pPr>
      <w:r>
        <w:rPr>
          <w:rFonts w:ascii="Times New Roman" w:hAnsi="Times New Roman" w:cs="Times New Roman"/>
          <w:sz w:val="72"/>
          <w:szCs w:val="72"/>
        </w:rPr>
        <w:br w:type="column"/>
      </w:r>
    </w:p>
    <w:p w14:paraId="2A7553C9">
      <w:pPr>
        <w:pStyle w:val="16"/>
        <w:jc w:val="both"/>
        <w:rPr>
          <w:rFonts w:ascii="Times New Roman" w:hAnsi="Times New Roman" w:cs="Times New Roman"/>
          <w:sz w:val="72"/>
          <w:szCs w:val="72"/>
        </w:rPr>
      </w:pPr>
    </w:p>
    <w:p w14:paraId="3ED27FF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CEA6E6A">
      <w:pPr>
        <w:widowControl/>
        <w:jc w:val="left"/>
        <w:rPr>
          <w:rFonts w:ascii="Times New Roman" w:hAnsi="Times New Roman" w:cs="Times New Roman"/>
          <w:color w:val="000000"/>
          <w:kern w:val="0"/>
          <w:sz w:val="32"/>
          <w:szCs w:val="32"/>
        </w:rPr>
      </w:pPr>
    </w:p>
    <w:p w14:paraId="62F79F7D">
      <w:pPr>
        <w:numPr>
          <w:ilvl w:val="0"/>
          <w:numId w:val="4"/>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基本支出：指为保障机构正常运转、完成日常工作任务而发生的各项支出，包括人员支出和公用支出。</w:t>
      </w:r>
    </w:p>
    <w:p w14:paraId="2D620A02">
      <w:pPr>
        <w:numPr>
          <w:ilvl w:val="0"/>
          <w:numId w:val="4"/>
        </w:numPr>
        <w:ind w:left="0" w:leftChars="0"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项目支出：指在基本支出以外为完成相关执行任务和事业发展目标所发生的各项支出。</w:t>
      </w:r>
    </w:p>
    <w:p w14:paraId="35F9E3C6">
      <w:pPr>
        <w:numPr>
          <w:ilvl w:val="0"/>
          <w:numId w:val="4"/>
        </w:numPr>
        <w:ind w:left="0" w:leftChars="0"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“三公”经费：指通过财政拨款资金安排的因公出国（境）费、公务用车购置及运行费和公务接待费支出。往年为一般公共预算财政拨款口径，今年为财政拨款口径</w:t>
      </w:r>
      <w:r>
        <w:rPr>
          <w:rFonts w:hint="eastAsia" w:cs="黑体" w:asciiTheme="minorEastAsia" w:hAnsiTheme="minorEastAsia"/>
          <w:color w:val="000000"/>
          <w:kern w:val="0"/>
          <w:sz w:val="32"/>
          <w:szCs w:val="32"/>
          <w:lang w:eastAsia="zh-CN"/>
        </w:rPr>
        <w:t>。</w:t>
      </w:r>
    </w:p>
    <w:p w14:paraId="784B72A8">
      <w:pPr>
        <w:numPr>
          <w:ilvl w:val="0"/>
          <w:numId w:val="4"/>
        </w:numPr>
        <w:ind w:left="0" w:leftChars="0"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机关运行经费：是指各部门的公用经费，包括办公费、印刷费、邮电费、差旅费、会议费、福利费、日常维修费、专用材料及一般设备购置费、办公用房水电费、办公用房物业管理费、公务用车运行维护费以及其他费用。 </w:t>
      </w:r>
    </w:p>
    <w:p w14:paraId="14DF54CD">
      <w:pPr>
        <w:numPr>
          <w:ilvl w:val="0"/>
          <w:numId w:val="4"/>
        </w:numPr>
        <w:ind w:left="0" w:leftChars="0"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政府采购金额的计算口径为：本部门纳入2022年度部门预算范围的各项政府采购支出金额之和，不包括涉密采购项目的支出金额。</w:t>
      </w:r>
    </w:p>
    <w:p w14:paraId="48705C15">
      <w:pPr>
        <w:pStyle w:val="16"/>
        <w:ind w:firstLine="640" w:firstLineChars="200"/>
        <w:rPr>
          <w:rFonts w:ascii="Times New Roman" w:hAnsi="Times New Roman" w:cs="Times New Roman" w:eastAsiaTheme="minorEastAsia"/>
          <w:sz w:val="32"/>
          <w:szCs w:val="32"/>
        </w:rPr>
      </w:pPr>
    </w:p>
    <w:p w14:paraId="511432C8">
      <w:pPr>
        <w:pStyle w:val="16"/>
        <w:jc w:val="center"/>
        <w:rPr>
          <w:rFonts w:ascii="Times New Roman" w:hAnsi="Times New Roman" w:cs="Times New Roman"/>
          <w:sz w:val="72"/>
          <w:szCs w:val="72"/>
        </w:rPr>
      </w:pPr>
    </w:p>
    <w:p w14:paraId="4DFA3A8A">
      <w:pPr>
        <w:pStyle w:val="16"/>
        <w:jc w:val="center"/>
        <w:rPr>
          <w:rFonts w:hint="eastAsia" w:ascii="Times New Roman" w:hAnsi="Times New Roman" w:eastAsia="黑体" w:cs="Times New Roman"/>
          <w:sz w:val="72"/>
          <w:szCs w:val="72"/>
          <w:lang w:eastAsia="zh-CN"/>
        </w:rPr>
      </w:pPr>
    </w:p>
    <w:p w14:paraId="4C297B61">
      <w:pPr>
        <w:pStyle w:val="16"/>
        <w:jc w:val="center"/>
        <w:rPr>
          <w:rFonts w:ascii="Times New Roman" w:hAnsi="Times New Roman" w:cs="Times New Roman"/>
          <w:sz w:val="72"/>
          <w:szCs w:val="72"/>
        </w:rPr>
      </w:pPr>
    </w:p>
    <w:p w14:paraId="671DD4BF">
      <w:pPr>
        <w:pStyle w:val="16"/>
        <w:jc w:val="center"/>
        <w:rPr>
          <w:rFonts w:ascii="Times New Roman" w:hAnsi="Times New Roman" w:cs="Times New Roman"/>
          <w:sz w:val="72"/>
          <w:szCs w:val="72"/>
        </w:rPr>
      </w:pPr>
    </w:p>
    <w:p w14:paraId="5CE29EB8">
      <w:pPr>
        <w:pStyle w:val="16"/>
        <w:jc w:val="center"/>
        <w:rPr>
          <w:rFonts w:ascii="Times New Roman" w:hAnsi="Times New Roman" w:cs="Times New Roman"/>
          <w:sz w:val="72"/>
          <w:szCs w:val="72"/>
        </w:rPr>
      </w:pPr>
    </w:p>
    <w:p w14:paraId="57271A34">
      <w:pPr>
        <w:pStyle w:val="16"/>
        <w:jc w:val="center"/>
        <w:rPr>
          <w:rFonts w:ascii="Times New Roman" w:hAnsi="Times New Roman" w:cs="Times New Roman"/>
          <w:sz w:val="72"/>
          <w:szCs w:val="72"/>
        </w:rPr>
      </w:pPr>
    </w:p>
    <w:p w14:paraId="701F371E">
      <w:pPr>
        <w:pStyle w:val="16"/>
        <w:jc w:val="center"/>
        <w:rPr>
          <w:rFonts w:ascii="Times New Roman" w:hAnsi="Times New Roman" w:cs="Times New Roman"/>
          <w:sz w:val="72"/>
          <w:szCs w:val="72"/>
        </w:rPr>
      </w:pPr>
    </w:p>
    <w:p w14:paraId="59D4F80E">
      <w:pPr>
        <w:pStyle w:val="16"/>
        <w:jc w:val="center"/>
        <w:rPr>
          <w:rFonts w:ascii="Times New Roman" w:hAnsi="Times New Roman" w:cs="Times New Roman"/>
          <w:sz w:val="72"/>
          <w:szCs w:val="72"/>
        </w:rPr>
      </w:pPr>
    </w:p>
    <w:p w14:paraId="3C1B70E6">
      <w:pPr>
        <w:pStyle w:val="16"/>
        <w:jc w:val="both"/>
        <w:rPr>
          <w:rFonts w:ascii="Times New Roman" w:hAnsi="Times New Roman" w:cs="Times New Roman"/>
          <w:sz w:val="72"/>
          <w:szCs w:val="72"/>
        </w:rPr>
      </w:pPr>
    </w:p>
    <w:p w14:paraId="1228E332">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9258D0E">
      <w:pPr>
        <w:rPr>
          <w:rFonts w:ascii="Times New Roman" w:hAnsi="Times New Roman" w:cs="Times New Roman"/>
          <w:sz w:val="72"/>
          <w:szCs w:val="72"/>
        </w:rPr>
      </w:pPr>
    </w:p>
    <w:p w14:paraId="4CDC9DD1">
      <w:pPr>
        <w:pStyle w:val="16"/>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 w:eastAsia="zh-CN"/>
        </w:rPr>
        <w:t>4</w:t>
      </w:r>
      <w:r>
        <w:rPr>
          <w:rFonts w:hint="eastAsia" w:ascii="Times New Roman" w:hAnsi="Times New Roman" w:eastAsia="仿宋_GB2312" w:cs="Times New Roman"/>
          <w:sz w:val="32"/>
          <w:szCs w:val="32"/>
          <w:lang w:val="en-US" w:eastAsia="zh-CN"/>
        </w:rPr>
        <w:t>年度部门决算公开表</w:t>
      </w:r>
    </w:p>
    <w:p w14:paraId="2EFE835B">
      <w:pPr>
        <w:pStyle w:val="16"/>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2024年度部门(单位)整体支出绩效自评报告。</w:t>
      </w:r>
    </w:p>
    <w:p w14:paraId="151C78F9">
      <w:pPr>
        <w:pStyle w:val="16"/>
        <w:spacing w:line="600" w:lineRule="exact"/>
        <w:ind w:firstLine="640" w:firstLineChars="200"/>
        <w:rPr>
          <w:rFonts w:ascii="Times New Roman" w:hAnsi="Times New Roman" w:eastAsia="仿宋_GB2312" w:cs="Times New Roman"/>
          <w:sz w:val="32"/>
          <w:szCs w:val="32"/>
        </w:rPr>
      </w:pPr>
    </w:p>
    <w:p w14:paraId="6C90FDF2">
      <w:pPr>
        <w:pStyle w:val="16"/>
        <w:jc w:val="center"/>
        <w:rPr>
          <w:rFonts w:ascii="Times New Roman" w:hAnsi="Times New Roman" w:cs="Times New Roman"/>
          <w:sz w:val="72"/>
          <w:szCs w:val="72"/>
        </w:rPr>
      </w:pPr>
    </w:p>
    <w:p w14:paraId="5F915520">
      <w:pPr>
        <w:pStyle w:val="16"/>
        <w:jc w:val="center"/>
        <w:rPr>
          <w:rFonts w:ascii="Times New Roman" w:hAnsi="Times New Roman" w:cs="Times New Roman"/>
          <w:sz w:val="72"/>
          <w:szCs w:val="72"/>
        </w:rPr>
      </w:pPr>
    </w:p>
    <w:p w14:paraId="5B96A08F">
      <w:pPr>
        <w:rPr>
          <w:rFonts w:hint="default" w:ascii="Times New Roman" w:hAnsi="Times New Roman" w:eastAsia="仿宋_GB2312" w:cs="Times New Roman"/>
          <w:b/>
          <w:bCs/>
          <w:color w:val="FF0000"/>
          <w:sz w:val="40"/>
          <w:szCs w:val="40"/>
          <w:lang w:val="en-US" w:eastAsia="zh-CN"/>
        </w:rPr>
      </w:pPr>
    </w:p>
    <w:sectPr>
      <w:footerReference r:id="rId7"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CESI小标宋-GB2312"/>
    <w:panose1 w:val="02000000000000000000"/>
    <w:charset w:val="86"/>
    <w:family w:val="script"/>
    <w:pitch w:val="default"/>
    <w:sig w:usb0="00000000" w:usb1="00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11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378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E27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B25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16F1C">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116F1C">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C39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0B6B2">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40B6B2">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85AF"/>
    <w:multiLevelType w:val="singleLevel"/>
    <w:tmpl w:val="88C685AF"/>
    <w:lvl w:ilvl="0" w:tentative="0">
      <w:start w:val="1"/>
      <w:numFmt w:val="chineseCounting"/>
      <w:suff w:val="nothing"/>
      <w:lvlText w:val="%1、"/>
      <w:lvlJc w:val="left"/>
      <w:rPr>
        <w:rFonts w:hint="eastAsia"/>
      </w:rPr>
    </w:lvl>
  </w:abstractNum>
  <w:abstractNum w:abstractNumId="1">
    <w:nsid w:val="C34E49EE"/>
    <w:multiLevelType w:val="singleLevel"/>
    <w:tmpl w:val="C34E49EE"/>
    <w:lvl w:ilvl="0" w:tentative="0">
      <w:start w:val="2"/>
      <w:numFmt w:val="chineseCounting"/>
      <w:suff w:val="nothing"/>
      <w:lvlText w:val="（%1）"/>
      <w:lvlJc w:val="left"/>
      <w:rPr>
        <w:rFonts w:hint="eastAsia"/>
      </w:rPr>
    </w:lvl>
  </w:abstractNum>
  <w:abstractNum w:abstractNumId="2">
    <w:nsid w:val="CFDE4CF6"/>
    <w:multiLevelType w:val="singleLevel"/>
    <w:tmpl w:val="CFDE4CF6"/>
    <w:lvl w:ilvl="0" w:tentative="0">
      <w:start w:val="2"/>
      <w:numFmt w:val="chineseCounting"/>
      <w:suff w:val="space"/>
      <w:lvlText w:val="第%1部分"/>
      <w:lvlJc w:val="left"/>
      <w:rPr>
        <w:rFonts w:hint="eastAsia"/>
      </w:rPr>
    </w:lvl>
  </w:abstractNum>
  <w:abstractNum w:abstractNumId="3">
    <w:nsid w:val="F93E3BF4"/>
    <w:multiLevelType w:val="singleLevel"/>
    <w:tmpl w:val="F93E3BF4"/>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DdlY2Y1MGVkMWIxM2EzNjAxOWE4MzEwODc4Mzg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E362ED"/>
    <w:rsid w:val="1D97DEFF"/>
    <w:rsid w:val="1DFF72E5"/>
    <w:rsid w:val="1EFC6F07"/>
    <w:rsid w:val="1FDF0B72"/>
    <w:rsid w:val="2BDE5CBD"/>
    <w:rsid w:val="2FDF85B8"/>
    <w:rsid w:val="2FFFEE04"/>
    <w:rsid w:val="33B3D739"/>
    <w:rsid w:val="34DF85B0"/>
    <w:rsid w:val="3B8F36BC"/>
    <w:rsid w:val="491FF225"/>
    <w:rsid w:val="4FFD214C"/>
    <w:rsid w:val="54E23F51"/>
    <w:rsid w:val="5777D4F5"/>
    <w:rsid w:val="59DD8326"/>
    <w:rsid w:val="5DEF592A"/>
    <w:rsid w:val="5FC6BB1E"/>
    <w:rsid w:val="5FF720F1"/>
    <w:rsid w:val="639F1030"/>
    <w:rsid w:val="67FF5C0B"/>
    <w:rsid w:val="6BCF3EE5"/>
    <w:rsid w:val="6EFC0924"/>
    <w:rsid w:val="6FB74722"/>
    <w:rsid w:val="6FEF8B7E"/>
    <w:rsid w:val="71A6591B"/>
    <w:rsid w:val="737D59BA"/>
    <w:rsid w:val="77C37683"/>
    <w:rsid w:val="79D19834"/>
    <w:rsid w:val="79FF515B"/>
    <w:rsid w:val="7E9E1962"/>
    <w:rsid w:val="7E9F11B4"/>
    <w:rsid w:val="7EB3024D"/>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B7BD518"/>
    <w:rsid w:val="DFFE359E"/>
    <w:rsid w:val="DFFE4FFD"/>
    <w:rsid w:val="EEABED75"/>
    <w:rsid w:val="EFDE7D2C"/>
    <w:rsid w:val="F56FDF51"/>
    <w:rsid w:val="F6B69F17"/>
    <w:rsid w:val="F77F1D61"/>
    <w:rsid w:val="F7FED3A9"/>
    <w:rsid w:val="F8C9DB26"/>
    <w:rsid w:val="F97E8EAE"/>
    <w:rsid w:val="F9FF45B5"/>
    <w:rsid w:val="FB36E1A6"/>
    <w:rsid w:val="FB3BE134"/>
    <w:rsid w:val="FC278370"/>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jc w:val="both"/>
    </w:pPr>
    <w:rPr>
      <w:lang w:val="en-US" w:eastAsia="zh-C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index 5"/>
    <w:basedOn w:val="1"/>
    <w:next w:val="1"/>
    <w:unhideWhenUsed/>
    <w:qFormat/>
    <w:uiPriority w:val="99"/>
    <w:pPr>
      <w:suppressAutoHyphens/>
      <w:ind w:left="1680"/>
    </w:pPr>
    <w:rPr>
      <w:szCs w:val="20"/>
    </w:rPr>
  </w:style>
  <w:style w:type="paragraph" w:styleId="5">
    <w:name w:val="Body Text"/>
    <w:basedOn w:val="1"/>
    <w:next w:val="4"/>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8"/>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8"/>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48</Words>
  <Characters>51</Characters>
  <Lines>69</Lines>
  <Paragraphs>19</Paragraphs>
  <TotalTime>12</TotalTime>
  <ScaleCrop>false</ScaleCrop>
  <LinksUpToDate>false</LinksUpToDate>
  <CharactersWithSpaces>54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kylin</cp:lastModifiedBy>
  <cp:lastPrinted>2025-09-25T15:01:00Z</cp:lastPrinted>
  <dcterms:modified xsi:type="dcterms:W3CDTF">2025-10-21T09:41:41Z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A7899C8D45FC4D20908EB25DC34B3554_13</vt:lpwstr>
  </property>
  <property fmtid="{D5CDD505-2E9C-101B-9397-08002B2CF9AE}" pid="4" name="KSOTemplateDocerSaveRecord">
    <vt:lpwstr>eyJoZGlkIjoiZjMwNGIwOWI5ZWRhNTIxMjYwOTE3ZDg1ODBlY2Y0MGIiLCJ1c2VySWQiOiI2ODg4NDM3ODIifQ==</vt:lpwstr>
  </property>
</Properties>
</file>